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8239"/>
      </w:tblGrid>
      <w:tr w:rsidR="003B4471" w:rsidRPr="0007069C" w:rsidTr="00DF1F82">
        <w:trPr>
          <w:trHeight w:val="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140" w:rsidRDefault="001C2140" w:rsidP="00DF1F82">
            <w:pPr>
              <w:pStyle w:val="Naslov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NASLOV:</w:t>
            </w:r>
          </w:p>
          <w:p w:rsidR="001C2140" w:rsidRDefault="001C2140" w:rsidP="00DF1F82">
            <w:pPr>
              <w:pStyle w:val="Naslov1"/>
              <w:rPr>
                <w:b w:val="0"/>
                <w:sz w:val="18"/>
                <w:szCs w:val="18"/>
              </w:rPr>
            </w:pPr>
          </w:p>
          <w:p w:rsidR="003B4471" w:rsidRPr="0007069C" w:rsidRDefault="003B4471" w:rsidP="00DF1F82">
            <w:pPr>
              <w:pStyle w:val="Naslov1"/>
              <w:rPr>
                <w:b w:val="0"/>
                <w:sz w:val="18"/>
                <w:szCs w:val="18"/>
              </w:rPr>
            </w:pPr>
            <w:r w:rsidRPr="0007069C">
              <w:rPr>
                <w:b w:val="0"/>
                <w:sz w:val="18"/>
                <w:szCs w:val="18"/>
              </w:rPr>
              <w:t>NAZIV KORISNIKA:</w:t>
            </w: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ZADAĆA:</w:t>
            </w: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ORGANIZACIJSKA</w:t>
            </w: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STRUKTURA:</w:t>
            </w: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69C">
              <w:rPr>
                <w:rFonts w:ascii="Arial" w:hAnsi="Arial" w:cs="Arial"/>
                <w:bCs/>
                <w:sz w:val="18"/>
                <w:szCs w:val="18"/>
              </w:rPr>
              <w:t>FINANCIJSKI  PLAN ZA 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0315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7069C">
              <w:rPr>
                <w:rFonts w:ascii="Arial" w:hAnsi="Arial" w:cs="Arial"/>
                <w:bCs/>
                <w:sz w:val="18"/>
                <w:szCs w:val="18"/>
              </w:rPr>
              <w:t>. GODINU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 </w:t>
            </w:r>
            <w:r w:rsidR="00F5524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 IZMJENA I DOPUNA )</w:t>
            </w:r>
            <w:r w:rsidRPr="0007069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07069C" w:rsidRDefault="003B4471" w:rsidP="00DF1F8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pStyle w:val="Naslov1"/>
              <w:rPr>
                <w:sz w:val="18"/>
                <w:szCs w:val="18"/>
              </w:rPr>
            </w:pPr>
            <w:r w:rsidRPr="00802EA9">
              <w:rPr>
                <w:sz w:val="18"/>
                <w:szCs w:val="18"/>
              </w:rPr>
              <w:lastRenderedPageBreak/>
              <w:t>NAZIV PROGRAMA: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E8E">
              <w:rPr>
                <w:rFonts w:ascii="Arial" w:hAnsi="Arial" w:cs="Arial"/>
                <w:b/>
                <w:bCs/>
                <w:sz w:val="16"/>
                <w:szCs w:val="16"/>
              </w:rPr>
              <w:t>POVEZANOST PROGRAMA SA STRATEŠKIM DOKUMENTIMA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5C" w:rsidRDefault="00901D5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5C" w:rsidRDefault="00901D5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5C" w:rsidRDefault="00901D5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5C" w:rsidRDefault="00901D5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5C" w:rsidRDefault="00901D5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ISHODIŠTE I POKAZATELJI NA KOJIMA SE ZASNIVAJU IZRAČUNI I OCJENE POTREBNIH SREDSTAVA: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3268" w:rsidRDefault="00C73268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3268" w:rsidRPr="00802EA9" w:rsidRDefault="00C73268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RAZLOG ODSTUPANJA OD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PRIJAŠNJEG FINANCIJSKOG PLANA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4C4C" w:rsidRDefault="00004C4C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3268" w:rsidRDefault="00C73268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3268" w:rsidRDefault="00C73268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F60" w:rsidRDefault="00485F60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F60" w:rsidRDefault="00485F60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F60" w:rsidRDefault="00485F60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5F60" w:rsidRDefault="00485F60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0E95" w:rsidRDefault="00A20E95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A26F48" w:rsidRDefault="00A26F48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71" w:rsidRPr="0007069C" w:rsidRDefault="003B4471" w:rsidP="00DF1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140" w:rsidRDefault="00AB0ECF" w:rsidP="00DF1F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C2140">
              <w:rPr>
                <w:rFonts w:ascii="Arial" w:hAnsi="Arial" w:cs="Arial"/>
                <w:b/>
              </w:rPr>
              <w:t>I.IZMJENA I DOPUNA FINANCIJSKOG PLANA ZA 202</w:t>
            </w:r>
            <w:r w:rsidR="006D33BF">
              <w:rPr>
                <w:rFonts w:ascii="Arial" w:hAnsi="Arial" w:cs="Arial"/>
                <w:b/>
              </w:rPr>
              <w:t>3</w:t>
            </w:r>
            <w:r w:rsidR="001C2140">
              <w:rPr>
                <w:rFonts w:ascii="Arial" w:hAnsi="Arial" w:cs="Arial"/>
                <w:b/>
              </w:rPr>
              <w:t>.GODINU</w:t>
            </w:r>
          </w:p>
          <w:p w:rsidR="001C2140" w:rsidRDefault="001C2140" w:rsidP="00DF1F82">
            <w:pPr>
              <w:jc w:val="both"/>
              <w:rPr>
                <w:rFonts w:ascii="Arial" w:hAnsi="Arial" w:cs="Arial"/>
                <w:b/>
              </w:rPr>
            </w:pPr>
          </w:p>
          <w:p w:rsidR="003B4471" w:rsidRPr="0015726F" w:rsidRDefault="003B4471" w:rsidP="00DF1F82">
            <w:pPr>
              <w:jc w:val="both"/>
              <w:rPr>
                <w:rFonts w:ascii="Arial" w:hAnsi="Arial" w:cs="Arial"/>
                <w:b/>
              </w:rPr>
            </w:pPr>
            <w:r w:rsidRPr="0015726F">
              <w:rPr>
                <w:rFonts w:ascii="Arial" w:hAnsi="Arial" w:cs="Arial"/>
                <w:b/>
              </w:rPr>
              <w:t>OSNOVNA ŠKOLA VIKTORA CARA EMINA</w:t>
            </w:r>
          </w:p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ind w:firstLine="7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ind w:firstLine="7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 xml:space="preserve">Poslovima odgojno obrazovnog rada u školi ostvaruju se nastavne, izvannastavne i izvanškolske aktivnosti, društveno koristan rad učenika, kulturno umjetničke, sportske, tehničke, društvene i druge aktivnosti, različiti oblici organiziranja  rada učenika u školi i izvan škole na temelju nastavnog plana i programa, zdravstvena zaštita učenika, rad stručne službe i drugi poslovi u neposrednoj svezi s odgojno obrazovnim radom. </w:t>
            </w:r>
          </w:p>
          <w:p w:rsidR="003B4471" w:rsidRPr="00B51B8E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Nastava je organizirana u jutarnjoj smjeni, u petodnevnom radnom tjednu, sa slobodnim subotama. Nastava, redovna, izborna, dodatna i dopunska izvodi se prema nastavnim planovima i programima, koje je</w:t>
            </w:r>
            <w:r w:rsidR="001C2140">
              <w:rPr>
                <w:rFonts w:ascii="Arial" w:hAnsi="Arial" w:cs="Arial"/>
                <w:sz w:val="20"/>
                <w:szCs w:val="20"/>
              </w:rPr>
              <w:t xml:space="preserve"> donijelo Ministarstva znanosti i</w:t>
            </w:r>
            <w:r w:rsidRPr="00B51B8E">
              <w:rPr>
                <w:rFonts w:ascii="Arial" w:hAnsi="Arial" w:cs="Arial"/>
                <w:sz w:val="20"/>
                <w:szCs w:val="20"/>
              </w:rPr>
              <w:t xml:space="preserve"> obrazovanja i operativnom Godišnjem izvedbenom odgojno obrazovnom planu i programu rada. </w:t>
            </w:r>
          </w:p>
          <w:p w:rsidR="003B4471" w:rsidRPr="00B51B8E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Školskim kurikulu</w:t>
            </w:r>
            <w:r w:rsidRPr="00B51B8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om</w:t>
            </w:r>
            <w:r w:rsidRPr="00B51B8E">
              <w:rPr>
                <w:rFonts w:ascii="Arial" w:hAnsi="Arial" w:cs="Arial"/>
                <w:sz w:val="20"/>
                <w:szCs w:val="20"/>
              </w:rPr>
              <w:t xml:space="preserve"> utvrđene su sljedeće zadaće odgojno-obrazovne institucije:</w:t>
            </w:r>
          </w:p>
          <w:p w:rsidR="003B4471" w:rsidRPr="00B51B8E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omogućiti učenicima stjecanje kompetencija potrebnih za daljnje školovanje, život i rad</w:t>
            </w:r>
          </w:p>
          <w:p w:rsidR="003B4471" w:rsidRPr="00B51B8E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razvijati kvalitetu odgojno-obrazovnog rada provođenjem suvremenih metoda i oblika rada</w:t>
            </w:r>
          </w:p>
          <w:p w:rsidR="003B4471" w:rsidRPr="00B51B8E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kontinuirani profesionalni razvoj i napredovanje učitelja s ciljem stjecanja i usavršavanja učiteljskih kompetencija</w:t>
            </w:r>
          </w:p>
          <w:p w:rsidR="003B4471" w:rsidRPr="00B51B8E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razvijati socijalne i komunikacijske vještine, kritičko mišljenje, samopouzdanje i međusobno povjerenje svih sudionika odgojno-obrazovnog procesa</w:t>
            </w:r>
          </w:p>
          <w:p w:rsidR="003B4471" w:rsidRPr="00B51B8E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B51B8E" w:rsidRDefault="003B4471" w:rsidP="00DF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51B8E">
              <w:rPr>
                <w:rFonts w:ascii="Arial" w:hAnsi="Arial" w:cs="Arial"/>
                <w:sz w:val="20"/>
                <w:szCs w:val="20"/>
              </w:rPr>
              <w:t>kontinuirano, transparentno i motivirajuće pratiti postignuća i rezultate rada svih sudionika odgojno-obrazovnog procesa s ciljem poboljšanja kvalitete rada</w:t>
            </w:r>
          </w:p>
          <w:p w:rsidR="003B4471" w:rsidRPr="00B51B8E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717535" w:rsidRDefault="00C0364A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 se sastoji od 1 m</w:t>
            </w:r>
            <w:r w:rsidR="003B4471" w:rsidRPr="00717535">
              <w:rPr>
                <w:rFonts w:ascii="Arial" w:hAnsi="Arial" w:cs="Arial"/>
                <w:sz w:val="20"/>
                <w:szCs w:val="20"/>
              </w:rPr>
              <w:t>atične škole</w:t>
            </w:r>
            <w:r w:rsidR="003B4471">
              <w:rPr>
                <w:rFonts w:ascii="Arial" w:hAnsi="Arial" w:cs="Arial"/>
                <w:sz w:val="20"/>
                <w:szCs w:val="20"/>
              </w:rPr>
              <w:t xml:space="preserve"> (OŠ Viktora Cara Emina Lovran) </w:t>
            </w:r>
            <w:r>
              <w:rPr>
                <w:rFonts w:ascii="Arial" w:hAnsi="Arial" w:cs="Arial"/>
                <w:sz w:val="20"/>
                <w:szCs w:val="20"/>
              </w:rPr>
              <w:t xml:space="preserve"> i 1</w:t>
            </w:r>
            <w:r w:rsidR="003B4471" w:rsidRPr="00717535">
              <w:rPr>
                <w:rFonts w:ascii="Arial" w:hAnsi="Arial" w:cs="Arial"/>
                <w:sz w:val="20"/>
                <w:szCs w:val="20"/>
              </w:rPr>
              <w:t xml:space="preserve"> područn</w:t>
            </w:r>
            <w:r w:rsidR="00AB0ECF">
              <w:rPr>
                <w:rFonts w:ascii="Arial" w:hAnsi="Arial" w:cs="Arial"/>
                <w:sz w:val="20"/>
                <w:szCs w:val="20"/>
              </w:rPr>
              <w:t>e (</w:t>
            </w:r>
            <w:r w:rsidR="003B4471" w:rsidRPr="00717535">
              <w:rPr>
                <w:rFonts w:ascii="Arial" w:hAnsi="Arial" w:cs="Arial"/>
                <w:sz w:val="20"/>
                <w:szCs w:val="20"/>
              </w:rPr>
              <w:t xml:space="preserve">PŠ </w:t>
            </w:r>
            <w:r w:rsidR="00AB0ECF">
              <w:rPr>
                <w:rFonts w:ascii="Arial" w:hAnsi="Arial" w:cs="Arial"/>
                <w:sz w:val="20"/>
                <w:szCs w:val="20"/>
              </w:rPr>
              <w:t xml:space="preserve">Eugen Kumičić, </w:t>
            </w:r>
            <w:r w:rsidR="003B4471" w:rsidRPr="00717535">
              <w:rPr>
                <w:rFonts w:ascii="Arial" w:hAnsi="Arial" w:cs="Arial"/>
                <w:sz w:val="20"/>
                <w:szCs w:val="20"/>
              </w:rPr>
              <w:t>Mošćenička Draga)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učenika u školskoj </w:t>
            </w:r>
            <w:r w:rsidRPr="00717535">
              <w:rPr>
                <w:rFonts w:ascii="Arial" w:hAnsi="Arial" w:cs="Arial"/>
                <w:sz w:val="20"/>
                <w:szCs w:val="20"/>
              </w:rPr>
              <w:t>godini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0ECF">
              <w:rPr>
                <w:rFonts w:ascii="Arial" w:hAnsi="Arial" w:cs="Arial"/>
                <w:sz w:val="20"/>
                <w:szCs w:val="20"/>
              </w:rPr>
              <w:t>3</w:t>
            </w:r>
            <w:r w:rsidRPr="00717535">
              <w:rPr>
                <w:rFonts w:ascii="Arial" w:hAnsi="Arial" w:cs="Arial"/>
                <w:sz w:val="20"/>
                <w:szCs w:val="20"/>
              </w:rPr>
              <w:t>./20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B0E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175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Broj učenika: 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I.-IV.:</w:t>
            </w:r>
            <w:r w:rsidR="00F57CFA">
              <w:rPr>
                <w:rFonts w:ascii="Arial" w:hAnsi="Arial" w:cs="Arial"/>
                <w:sz w:val="20"/>
                <w:szCs w:val="20"/>
              </w:rPr>
              <w:t>180</w:t>
            </w:r>
          </w:p>
          <w:p w:rsidR="003B4471" w:rsidRPr="00717535" w:rsidRDefault="00303154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V.-VIII.:</w:t>
            </w:r>
            <w:r w:rsidR="00F57CFA">
              <w:rPr>
                <w:rFonts w:ascii="Arial" w:hAnsi="Arial" w:cs="Arial"/>
                <w:sz w:val="20"/>
                <w:szCs w:val="20"/>
              </w:rPr>
              <w:t>227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Ukupno:</w:t>
            </w:r>
            <w:r w:rsidR="00F57CF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Broj razrednih odjela (matična škola): 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I.-IV.: </w:t>
            </w:r>
            <w:r w:rsidR="00F57CF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V.-VIII.:</w:t>
            </w:r>
            <w:r w:rsidR="00F57CFA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Ukupno:1</w:t>
            </w:r>
            <w:r w:rsidR="00F57CF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Broj područnih razrednih odjela (škola): </w:t>
            </w:r>
          </w:p>
          <w:p w:rsidR="00C0364A" w:rsidRPr="00717535" w:rsidRDefault="00C0364A" w:rsidP="00C0364A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 xml:space="preserve">I.-IV.: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0364A" w:rsidRPr="00717535" w:rsidRDefault="00C0364A" w:rsidP="00C0364A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V.-VIII.: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0364A" w:rsidRPr="00717535" w:rsidRDefault="00C0364A" w:rsidP="00C0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Ukupno:7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Broj djelatnika: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učitelja razredne nastave: 1</w:t>
            </w:r>
            <w:r w:rsidR="00BA23F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717535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učitelja predmetne nastave: </w:t>
            </w:r>
            <w:r w:rsidR="00BA23F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stručnih suradnika: </w:t>
            </w:r>
            <w:r w:rsidR="00BA23F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ostalih djelatnika: 1</w:t>
            </w:r>
            <w:r w:rsidR="00BA23F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B4471" w:rsidRPr="00717535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e)učiteljice produženog b</w:t>
            </w:r>
            <w:r w:rsidR="00BA23F2">
              <w:rPr>
                <w:rFonts w:ascii="Arial" w:hAnsi="Arial" w:cs="Arial"/>
                <w:sz w:val="20"/>
                <w:szCs w:val="20"/>
              </w:rPr>
              <w:t>oravka:4</w:t>
            </w:r>
          </w:p>
          <w:p w:rsidR="003B4471" w:rsidRPr="00717535" w:rsidRDefault="00BA23F2" w:rsidP="00DF1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 64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OSNOVNOŠKOLSKO OBRAZOVANJE</w:t>
                  </w:r>
                  <w:r w:rsidRPr="002432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B4471" w:rsidRPr="0007069C" w:rsidRDefault="003B4471" w:rsidP="00303154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</w:t>
                  </w:r>
                  <w:r w:rsidR="00303154">
                    <w:rPr>
                      <w:b w:val="0"/>
                      <w:szCs w:val="18"/>
                    </w:rPr>
                    <w:t>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1954AD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3B4471" w:rsidRPr="001954AD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Osiguravanje uvjeta rada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1.439.647,86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Nabava udžbenika za učenike OŠ</w:t>
                  </w:r>
                </w:p>
              </w:tc>
              <w:tc>
                <w:tcPr>
                  <w:tcW w:w="1276" w:type="dxa"/>
                </w:tcPr>
                <w:p w:rsidR="003B4471" w:rsidRPr="00E92559" w:rsidRDefault="00303154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22.800,00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03154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03154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Prehrana za učenike u OŠ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84.500,00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B4471" w:rsidRPr="00E92559" w:rsidRDefault="003B4471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1.546.947,86</w:t>
                  </w:r>
                </w:p>
              </w:tc>
            </w:tr>
          </w:tbl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UNAPREĐENJE KVALITETE ODGOJNO OBRAZOVNOG SUSTAVA</w:t>
                  </w:r>
                </w:p>
              </w:tc>
              <w:tc>
                <w:tcPr>
                  <w:tcW w:w="1276" w:type="dxa"/>
                </w:tcPr>
                <w:p w:rsidR="003B4471" w:rsidRPr="0007069C" w:rsidRDefault="003B4471" w:rsidP="00303154">
                  <w:pPr>
                    <w:pStyle w:val="Naslov7"/>
                    <w:rPr>
                      <w:b w:val="0"/>
                      <w:szCs w:val="18"/>
                    </w:rPr>
                  </w:pPr>
                  <w:r w:rsidRPr="0007069C">
                    <w:rPr>
                      <w:b w:val="0"/>
                      <w:szCs w:val="18"/>
                    </w:rPr>
                    <w:t>20</w:t>
                  </w:r>
                  <w:r>
                    <w:rPr>
                      <w:b w:val="0"/>
                      <w:szCs w:val="18"/>
                    </w:rPr>
                    <w:t>2</w:t>
                  </w:r>
                  <w:r w:rsidR="00303154">
                    <w:rPr>
                      <w:b w:val="0"/>
                      <w:szCs w:val="18"/>
                    </w:rPr>
                    <w:t>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3B4471" w:rsidRPr="002432FB" w:rsidRDefault="003B4471" w:rsidP="00DF1F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Produženi boravak učenika</w:t>
                  </w:r>
                </w:p>
              </w:tc>
              <w:tc>
                <w:tcPr>
                  <w:tcW w:w="1276" w:type="dxa"/>
                </w:tcPr>
                <w:p w:rsidR="003B4471" w:rsidRPr="0007069C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142.048,29</w:t>
                  </w:r>
                </w:p>
              </w:tc>
            </w:tr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Program školskog kurikuluma</w:t>
                  </w:r>
                </w:p>
              </w:tc>
              <w:tc>
                <w:tcPr>
                  <w:tcW w:w="1276" w:type="dxa"/>
                </w:tcPr>
                <w:p w:rsidR="003B4471" w:rsidRPr="0007069C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6.774,92</w:t>
                  </w:r>
                </w:p>
              </w:tc>
            </w:tr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Sufinanciranje rada pomoćnika u nastavi</w:t>
                  </w:r>
                </w:p>
              </w:tc>
              <w:tc>
                <w:tcPr>
                  <w:tcW w:w="1276" w:type="dxa"/>
                </w:tcPr>
                <w:p w:rsidR="003B4471" w:rsidRPr="0007069C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22.000,18</w:t>
                  </w:r>
                </w:p>
              </w:tc>
            </w:tr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F5524E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F5524E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Županijska škola plivanja</w:t>
                  </w:r>
                </w:p>
              </w:tc>
              <w:tc>
                <w:tcPr>
                  <w:tcW w:w="1276" w:type="dxa"/>
                </w:tcPr>
                <w:p w:rsidR="003B4471" w:rsidRPr="0007069C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1.243,00</w:t>
                  </w:r>
                </w:p>
              </w:tc>
            </w:tr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F5524E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F5524E" w:rsidP="00DF1F8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Osiguranje besplatnih zaliha menstrualnih higijenskih potrepština</w:t>
                  </w:r>
                </w:p>
              </w:tc>
              <w:tc>
                <w:tcPr>
                  <w:tcW w:w="1276" w:type="dxa"/>
                </w:tcPr>
                <w:p w:rsidR="003B4471" w:rsidRPr="0007069C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883,40</w:t>
                  </w:r>
                </w:p>
              </w:tc>
            </w:tr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3B4471" w:rsidRPr="0007069C" w:rsidRDefault="00F5524E" w:rsidP="00DF1F82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172.949,79</w:t>
                  </w:r>
                </w:p>
              </w:tc>
            </w:tr>
          </w:tbl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OBILJEŽAVANJE POSTIGNUĆA UČENIKA I NASTAVNIKA</w:t>
                  </w:r>
                </w:p>
              </w:tc>
              <w:tc>
                <w:tcPr>
                  <w:tcW w:w="1276" w:type="dxa"/>
                </w:tcPr>
                <w:p w:rsidR="003B4471" w:rsidRPr="0007069C" w:rsidRDefault="003B4471" w:rsidP="00303154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</w:t>
                  </w:r>
                  <w:r w:rsidR="00303154">
                    <w:rPr>
                      <w:b w:val="0"/>
                      <w:szCs w:val="18"/>
                    </w:rPr>
                    <w:t>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1954AD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3B4471" w:rsidRPr="001954AD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Natjecanja i smotre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7.777,33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B4471" w:rsidRPr="00E92559" w:rsidRDefault="003B4471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7.777,33</w:t>
                  </w:r>
                </w:p>
              </w:tc>
            </w:tr>
          </w:tbl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Pr="0007069C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3B4471" w:rsidRPr="0007069C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KAPITALNA ULAGANJA U ODGOJNO OBRAZOVNU INFRASTRUKTURU</w:t>
                  </w:r>
                </w:p>
              </w:tc>
              <w:tc>
                <w:tcPr>
                  <w:tcW w:w="1276" w:type="dxa"/>
                </w:tcPr>
                <w:p w:rsidR="003B4471" w:rsidRPr="0007069C" w:rsidRDefault="003B4471" w:rsidP="00303154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</w:t>
                  </w:r>
                  <w:r w:rsidR="00303154">
                    <w:rPr>
                      <w:b w:val="0"/>
                      <w:szCs w:val="18"/>
                    </w:rPr>
                    <w:t>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1954AD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3B4471" w:rsidRPr="001954AD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Opremanje ustanova školstva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195.581,68</w:t>
                  </w: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3B4471" w:rsidRPr="00E92559" w:rsidRDefault="003B4471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B4471" w:rsidRPr="00E92559" w:rsidTr="00DF1F82">
              <w:tc>
                <w:tcPr>
                  <w:tcW w:w="556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B4471" w:rsidRPr="0007069C" w:rsidRDefault="003B4471" w:rsidP="00DF1F82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3B4471" w:rsidRPr="00E92559" w:rsidRDefault="00F5524E" w:rsidP="00DF1F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195.581,68</w:t>
                  </w:r>
                </w:p>
              </w:tc>
            </w:tr>
          </w:tbl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732E" w:rsidRDefault="00EA732E" w:rsidP="00DF1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471" w:rsidRPr="00107F03" w:rsidRDefault="003B4471" w:rsidP="00DF1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OSNOVNOŠKOLSKO OBRAZOVANJE</w:t>
            </w:r>
          </w:p>
          <w:p w:rsidR="003B4471" w:rsidRPr="00802EA9" w:rsidRDefault="003B4471" w:rsidP="00DF1F82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471" w:rsidRPr="008B4D82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 Razvoj ljudskih potencijala </w:t>
            </w:r>
            <w:r>
              <w:rPr>
                <w:rFonts w:ascii="Arial" w:hAnsi="Arial" w:cs="Arial"/>
                <w:sz w:val="20"/>
                <w:szCs w:val="20"/>
              </w:rPr>
              <w:t>i povećanje kvalitete života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DF1F82">
            <w:pPr>
              <w:jc w:val="both"/>
              <w:rPr>
                <w:bCs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</w:rPr>
              <w:t>Unapređenje obrazovnog sustava te njegova usklađenost sa potrebama u gospodarstvu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Pr="008B4D82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68" w:rsidRDefault="00C73268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Osiguravanje uvjeta rada ima za cilj omogućiti  realizaciju redovnog programa odgoja i obrazovanja. Svim učenicima omogućiti stjecanje kvalitetnog obrazovanja i uspješnog razvoja potencijalnih sposobnosti pod jednakim uvjetima, te stjecanje kompetencija za cjelokupan osobni i društveni razvoj .</w:t>
            </w:r>
          </w:p>
          <w:p w:rsidR="003B4471" w:rsidRDefault="003B4471" w:rsidP="00580CB9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 aktivnost financira se iz Državnog proračuna iz sredstava pomoći  za rashode plaća djelatnicima Škole, naknadu za nezapošljavanje invalida, rad Županijskog stručnog vijeća,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rashode nastale temeljem donesenih pravomoćnih presuda po tužbama zaposlenika Škole radi isplate razlike plaće po povoljnijoj osnovici za razdoblje od siječnja 2016.g. do siječnja 2017.g. , rashodi za financiranje prijevoza učenika na punktove,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rashode za </w:t>
            </w:r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održavanje stručnih ispita</w:t>
            </w:r>
            <w:r w:rsidR="0074018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rashode za prehranu učenika, te rashode za nabavu besplatnih udžbenika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U 202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.godini po ovom izvoru financiranja nastao je višak prihoda poslovanja od rada ŽSV u iznosu od 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431,77eura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koji s</w:t>
            </w:r>
            <w:r w:rsidR="00004C4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planirani namjenski rashodi u skladu s potrebama Županijskih stručnih vijeća, </w:t>
            </w:r>
            <w:r w:rsidR="005C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 je ostvaren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višak prihoda za 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nabavku pribora za učenike iz </w:t>
            </w:r>
            <w:proofErr w:type="spellStart"/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Ukrajne</w:t>
            </w:r>
            <w:proofErr w:type="spellEnd"/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iznosu od 456,75eura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koji će također namjenski biti utrošen u 202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godini .</w:t>
            </w:r>
            <w:r w:rsidR="00F05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Također je ostvaren manjak prihoda za uplatu sudskih pristojbi za koje su rashodi nastali u 202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05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.godinu, a pokrit će se prihodima nastalim u 202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F05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.godini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iznosu od 360,07eura</w:t>
            </w:r>
            <w:r w:rsidR="00F057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 Županijskog proračuna financiraju se materijalni i financijski rashodi Škole iz djela – decentraliziranih funkcija (redovno poslovanje).</w:t>
            </w: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 vlastitih prihoda financiraju se rashodi za 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službena putovanja učitelja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580C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ekskurzija Austrija i Njemačka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reprezentacija,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najam opreme (fotokopirnih aparata za Matičnu i Područnu školu), benzin za kosilicu za uređenje okoliša, </w:t>
            </w:r>
            <w:r w:rsidR="005C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izrada E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laborat</w:t>
            </w:r>
            <w:r w:rsidR="005C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procijene vrijednosti nekretnina</w:t>
            </w:r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rashodi za materijal za tekuće održavanja opreme (prebacivanje klima uređaja, iz PŠ </w:t>
            </w:r>
            <w:proofErr w:type="spellStart"/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Dobreć</w:t>
            </w:r>
            <w:proofErr w:type="spellEnd"/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koja se u ovoj školskoj godini zatvorila, u Matičnu školu)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rashodi za kamate iz poslovnih odnosa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9C5F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2022.godini ostvaren je višak prihoda poslovanja po ovoj vr</w:t>
            </w:r>
            <w:r w:rsidR="006B5E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 w:rsidR="009C5F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 prihoda u iznosu od 1.234,16eura koji će se temeljem Odluke o raspodijeli rezultata i načinu korištenja viška prihoda u 202</w:t>
            </w:r>
            <w:r w:rsidR="006B5E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C76C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.g.</w:t>
            </w:r>
            <w:r w:rsidR="006B5E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Izmjena i dopuna</w:t>
            </w:r>
            <w:r w:rsidR="00C76C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6B5E9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utrošiti na m</w:t>
            </w:r>
            <w:r w:rsidR="009C5F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aterijal i uslugu za tekuće održavanje opreme u svrhu prebacivanje klima uređaja, iz PŠ </w:t>
            </w:r>
            <w:proofErr w:type="spellStart"/>
            <w:r w:rsidR="009C5FA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Dobreć</w:t>
            </w:r>
            <w:proofErr w:type="spellEnd"/>
            <w:r w:rsidR="009C5FA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koja se u ovoj školskoj godini zatvorila, u Matičnu školu.  </w:t>
            </w:r>
          </w:p>
          <w:p w:rsidR="003B4471" w:rsidRPr="008B4D82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Iz sredstava prihoda za posebnu namjenu financira se rad školske kuhinje financirani od strane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Jedinica lokalne samouprave koje nam nisu nadležne, a koje ist</w:t>
            </w:r>
            <w:r w:rsidR="006B5E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financiraju u ime roditelja. Iz ovih se prihoda financira nabava namirnica, materijal za higijenu i čišćenje, sitan inventar, zdravstveni pregledi, energija, službena radna odjeća</w:t>
            </w:r>
            <w:r w:rsidR="00F3484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obuća</w:t>
            </w:r>
            <w:r w:rsidR="006B5E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usluge odvjetnika za ovrhe na neplaćene račune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 izvora </w:t>
            </w:r>
            <w:r w:rsidR="004C6EBE"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prihoda za posebnu namjenu financira se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održavanje stručnih ispita u našoj Školi.</w:t>
            </w:r>
            <w:r w:rsidR="001847B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Višak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prihoda poslovanja koji je nastao u 202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.godini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 rada školske kuhinje utrošit će se namjenski u tečajeve</w:t>
            </w:r>
            <w:r w:rsidR="005C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polaganje higijenskog minimuma</w:t>
            </w:r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materijal za higijenu, </w:t>
            </w:r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uslugu za tekuće održavanje opreme, te, 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dok će višak prihoda za održavanje stručnih ispita također nastao u 2022.godini namjenski utrošiti na intelektualne usluge</w:t>
            </w:r>
            <w:r w:rsidR="00C32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uredski materijal</w:t>
            </w:r>
            <w:r w:rsidR="004C6E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3B4471" w:rsidRPr="008B4D82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Iz sredstava pomoći  financiranih od strane  Jedinica lokalne i regionalne samouprave planira se financiranje   ½ radnog vremena stručnog suradnika-socijalnog pedagoga od strane jedinica lokalne samouprave (Općine Lovran, Grada Opatije i Općine Mošćenička Draga) sukladno broju učenika s njihovog područja. Zapošljavanje socijalnog pedagoga potrebno je zbog specifičnih potreba škole (prostorna organizacija, učenici-putnici, učenici iz </w:t>
            </w:r>
            <w:proofErr w:type="spellStart"/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subkulturnih</w:t>
            </w:r>
            <w:proofErr w:type="spellEnd"/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obitelji, veći broj učenika po prilagođenom programu, učenici smješteni u Dječjem domu) i nedostatnog stručnog osoblja. JLS u 202</w:t>
            </w:r>
            <w:r w:rsidR="00EF15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.godini temeljem Ugovora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financirat će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C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intelektualne usluge za radionice stručnog usavršavanja učitelja i učenika.</w:t>
            </w:r>
          </w:p>
          <w:p w:rsidR="005C68AA" w:rsidRDefault="005C68AA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Iz izvora Prihodi od prodaje ili zamjene nefinancijske imovine i naknada štete s naslova osiguranja planirani su u sklopu ovog programa usluge za tekuće i investicijsko ulaganje koje se odnosi na naknadu štete po naslovu osiguranja.</w:t>
            </w: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6E58" w:rsidRPr="008B4D82" w:rsidRDefault="00901D5C" w:rsidP="00556E5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56E58">
              <w:rPr>
                <w:rFonts w:ascii="Arial" w:hAnsi="Arial" w:cs="Arial"/>
                <w:sz w:val="20"/>
                <w:szCs w:val="20"/>
              </w:rPr>
              <w:t>o</w:t>
            </w:r>
            <w:r w:rsidR="00556E58"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 5/12, 16/12, 86/12, 86/12, 126/12, 94/13, 152/14, 07/17, 68/18 , 98/19, 64/20), Zakona o ustanovama (</w:t>
            </w:r>
            <w:r w:rsidR="00556E58">
              <w:rPr>
                <w:rFonts w:ascii="Arial" w:hAnsi="Arial" w:cs="Arial"/>
                <w:sz w:val="20"/>
                <w:szCs w:val="20"/>
              </w:rPr>
              <w:t>NN</w:t>
            </w:r>
            <w:r w:rsidR="00556E58" w:rsidRPr="008B4D82">
              <w:rPr>
                <w:rFonts w:ascii="Arial" w:hAnsi="Arial" w:cs="Arial"/>
                <w:sz w:val="20"/>
                <w:szCs w:val="20"/>
              </w:rPr>
              <w:t xml:space="preserve"> 76/93, 29/97, 47/99, 35/08,127/19</w:t>
            </w:r>
            <w:r w:rsidR="00545427">
              <w:rPr>
                <w:rFonts w:ascii="Arial" w:hAnsi="Arial" w:cs="Arial"/>
                <w:sz w:val="20"/>
                <w:szCs w:val="20"/>
              </w:rPr>
              <w:t>,151/22</w:t>
            </w:r>
            <w:r w:rsidR="00556E58" w:rsidRPr="008B4D82">
              <w:rPr>
                <w:rFonts w:ascii="Arial" w:hAnsi="Arial" w:cs="Arial"/>
                <w:sz w:val="20"/>
                <w:szCs w:val="20"/>
              </w:rPr>
              <w:t>); Zakon o lokalnoj i područnoj (regionalnoj) samoupravi (NN 33/01, 60/01, 129/05, 109,07, 125/08, 36/09, 150/11, 144/12, 19/13, 137/15, 123/17, 98/19</w:t>
            </w:r>
            <w:r w:rsidR="00556E58">
              <w:rPr>
                <w:rFonts w:ascii="Arial" w:hAnsi="Arial" w:cs="Arial"/>
                <w:sz w:val="20"/>
                <w:szCs w:val="20"/>
              </w:rPr>
              <w:t>,144/20</w:t>
            </w:r>
            <w:r w:rsidR="00556E58"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(NN, 127/17</w:t>
            </w:r>
            <w:r w:rsidR="00556E58">
              <w:rPr>
                <w:rFonts w:ascii="Arial" w:hAnsi="Arial" w:cs="Arial"/>
                <w:sz w:val="20"/>
                <w:szCs w:val="20"/>
              </w:rPr>
              <w:t>, 138/20</w:t>
            </w:r>
            <w:r w:rsidR="00545427">
              <w:rPr>
                <w:rFonts w:ascii="Arial" w:hAnsi="Arial" w:cs="Arial"/>
                <w:sz w:val="20"/>
                <w:szCs w:val="20"/>
              </w:rPr>
              <w:t>, 151/22</w:t>
            </w:r>
            <w:r w:rsidR="00556E58"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 w:rsidR="00556E58">
              <w:rPr>
                <w:rFonts w:ascii="Arial" w:hAnsi="Arial" w:cs="Arial"/>
                <w:sz w:val="20"/>
                <w:szCs w:val="20"/>
              </w:rPr>
              <w:t>56/22</w:t>
            </w:r>
            <w:r w:rsidR="00556E58"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56E58" w:rsidRPr="008B4D82" w:rsidRDefault="00556E58" w:rsidP="00556E58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Odluka o kriterijima, mjerilima i načinu financiranja minimalnog financijskog standarda za dece</w:t>
            </w:r>
            <w:r w:rsidR="00EB648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tralizirane funkcije osnovnog i srednjeg školstva u 2023.godini</w:t>
            </w:r>
          </w:p>
          <w:p w:rsidR="00556E58" w:rsidRPr="008B4D82" w:rsidRDefault="00556E58" w:rsidP="00556E58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C153B5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</w:p>
          <w:p w:rsidR="00556E58" w:rsidRDefault="00556E58" w:rsidP="00556E58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C153B5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Default="003B4471" w:rsidP="00DF1F82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izradu financijskog plana ove aktivnosti korištene su smjernice dobivene od strane </w:t>
            </w:r>
            <w:r w:rsidR="00EB648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nadležnog 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Ministarstva  i Primorsko-goranske županije kao osnivača i glavnih izvora prihoda, te Ugovori o najmu školskog prostora, Odluke o sufinanciranju od strane JLS,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 temeljem rezultata prethodnog rada korisnika i potreba ciljanih skupina</w:t>
            </w:r>
            <w:r w:rsidRPr="008B4D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FE64DE" w:rsidRPr="008B4D82" w:rsidRDefault="00FE64DE" w:rsidP="00DF1F82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FE64DE" w:rsidRPr="0007069C" w:rsidTr="004E5280">
              <w:tc>
                <w:tcPr>
                  <w:tcW w:w="556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OSNOVNOŠKOLSKO OBRAZOVANJE</w:t>
                  </w:r>
                  <w:r w:rsidRPr="002432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FE64DE" w:rsidRPr="0007069C" w:rsidRDefault="00FE64DE" w:rsidP="00FE64DE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FE64DE" w:rsidRPr="00E92559" w:rsidTr="004E5280">
              <w:tc>
                <w:tcPr>
                  <w:tcW w:w="556" w:type="dxa"/>
                </w:tcPr>
                <w:p w:rsidR="00FE64DE" w:rsidRPr="001954AD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FE64DE" w:rsidRPr="001954AD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Osiguravanje uvjeta rada</w:t>
                  </w:r>
                </w:p>
              </w:tc>
              <w:tc>
                <w:tcPr>
                  <w:tcW w:w="1276" w:type="dxa"/>
                </w:tcPr>
                <w:p w:rsidR="00FE64DE" w:rsidRPr="00E92559" w:rsidRDefault="00740186" w:rsidP="00FE64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1.439.647,86</w:t>
                  </w:r>
                </w:p>
              </w:tc>
            </w:tr>
            <w:tr w:rsidR="00FE64DE" w:rsidRPr="00E92559" w:rsidTr="004E5280">
              <w:tc>
                <w:tcPr>
                  <w:tcW w:w="556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Nabava udžbenika za učenike OŠ</w:t>
                  </w:r>
                </w:p>
              </w:tc>
              <w:tc>
                <w:tcPr>
                  <w:tcW w:w="1276" w:type="dxa"/>
                </w:tcPr>
                <w:p w:rsidR="00FE64DE" w:rsidRPr="00E92559" w:rsidRDefault="00FE64DE" w:rsidP="00FE64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22.800,00</w:t>
                  </w:r>
                </w:p>
              </w:tc>
            </w:tr>
            <w:tr w:rsidR="00FE64DE" w:rsidRPr="00E92559" w:rsidTr="004E5280">
              <w:tc>
                <w:tcPr>
                  <w:tcW w:w="556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91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Prehrana za učenike u OŠ</w:t>
                  </w:r>
                </w:p>
              </w:tc>
              <w:tc>
                <w:tcPr>
                  <w:tcW w:w="1276" w:type="dxa"/>
                </w:tcPr>
                <w:p w:rsidR="00FE64DE" w:rsidRPr="00E92559" w:rsidRDefault="00740186" w:rsidP="00FE64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84.500,00</w:t>
                  </w:r>
                </w:p>
              </w:tc>
            </w:tr>
            <w:tr w:rsidR="00FE64DE" w:rsidRPr="00E92559" w:rsidTr="004E5280">
              <w:tc>
                <w:tcPr>
                  <w:tcW w:w="556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FE64DE" w:rsidRPr="00E92559" w:rsidRDefault="00FE64DE" w:rsidP="00FE64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64DE" w:rsidRPr="00E92559" w:rsidTr="004E5280">
              <w:tc>
                <w:tcPr>
                  <w:tcW w:w="556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FE64DE" w:rsidRPr="0007069C" w:rsidRDefault="00FE64DE" w:rsidP="00FE64DE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FE64DE" w:rsidRPr="00E92559" w:rsidRDefault="00740186" w:rsidP="00FE64D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1.546.947,86</w:t>
                  </w:r>
                </w:p>
              </w:tc>
            </w:tr>
          </w:tbl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268" w:rsidRDefault="00C73268" w:rsidP="00DF1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Pr="00004C4C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004C4C">
              <w:rPr>
                <w:b w:val="0"/>
              </w:rPr>
              <w:t>Svi rashodi i prihodi  poslovanja za program Osiguranje uvjeta rada po svim izvorima financiranja usklađeni su sa stvarnim potrebama poslovanja te Odlukama i Ugovorima koje je Škola potpisala za promatrano razdoblje.</w:t>
            </w:r>
          </w:p>
          <w:p w:rsidR="006649D9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004C4C">
              <w:rPr>
                <w:b w:val="0"/>
              </w:rPr>
              <w:t>Plan rashoda i prihoda financiranih od strane Osnivača koji se odnosi na decentralizirane funkcije</w:t>
            </w:r>
            <w:r w:rsidR="00FE64DE">
              <w:rPr>
                <w:b w:val="0"/>
              </w:rPr>
              <w:t xml:space="preserve"> u skladu su sa prvotnim planom u ukupnosti.  Unutar planiranih sredstava analitički gledano došlo je do promjena </w:t>
            </w:r>
            <w:r w:rsidR="006649D9">
              <w:rPr>
                <w:b w:val="0"/>
              </w:rPr>
              <w:t xml:space="preserve"> jer su rashodi usklađeni sa dosad utrošenim i stvarnim potrebama koje će Škola imati do kraja kalendarske godine. Do znatnog povećanja došlo je u rashodima za službeni put koji su usklađeni sa Školskim kurikulumom za 2023./2024.godinu, te rashodi za uredske i ostale materijale kod kojih je zbog inflacije došlo do znatnog porasta cijena (materijal za uredsko poslovanje, čišćenje i higijenu). Ostali rashodi u skladu su sa planiranim rashodima u I. Izmjeni i dopuni financijskog plana  ili manji zavisno o promatranom do sada realiziranom i potrebama do kraja kalendarske godine. Pa tako smanjenje uočavamo na materijalu za investicijsko i tekuće održavanje ,sitan inventar,</w:t>
            </w:r>
            <w:r w:rsidR="00F406E1">
              <w:rPr>
                <w:b w:val="0"/>
              </w:rPr>
              <w:t xml:space="preserve"> </w:t>
            </w:r>
            <w:r w:rsidR="006649D9">
              <w:rPr>
                <w:b w:val="0"/>
              </w:rPr>
              <w:t>službena radna obuća i odjeća,</w:t>
            </w:r>
            <w:r w:rsidR="00F406E1">
              <w:rPr>
                <w:b w:val="0"/>
              </w:rPr>
              <w:t xml:space="preserve"> usluge tekućeg i investicijskog održavanja, reprezentaciji, ostalim nespomenutim rashodima poslovanja, te pristojbama i naknadama.</w:t>
            </w:r>
          </w:p>
          <w:p w:rsidR="00F406E1" w:rsidRDefault="00F406E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II. </w:t>
            </w:r>
            <w:r w:rsidR="003D6775">
              <w:rPr>
                <w:b w:val="0"/>
              </w:rPr>
              <w:t xml:space="preserve">Rebalansom financijskog plana </w:t>
            </w:r>
            <w:r w:rsidR="003B4471" w:rsidRPr="00004C4C">
              <w:rPr>
                <w:b w:val="0"/>
              </w:rPr>
              <w:t>Vlastiti prihodi će se u 202</w:t>
            </w:r>
            <w:r w:rsidR="0048655E">
              <w:rPr>
                <w:b w:val="0"/>
              </w:rPr>
              <w:t>3</w:t>
            </w:r>
            <w:r w:rsidR="003B4471" w:rsidRPr="00004C4C">
              <w:rPr>
                <w:b w:val="0"/>
              </w:rPr>
              <w:t xml:space="preserve">. godini </w:t>
            </w:r>
            <w:r w:rsidR="00205EAA">
              <w:rPr>
                <w:b w:val="0"/>
              </w:rPr>
              <w:t>usmjeriti na rashode za službenih putovanja gdje ćemo osigurati prihod za isplatu dnevnica za ekskurziju učenika u Austriju i Njemačku</w:t>
            </w:r>
            <w:r w:rsidR="00EB6480">
              <w:rPr>
                <w:b w:val="0"/>
              </w:rPr>
              <w:t>,</w:t>
            </w:r>
            <w:r>
              <w:rPr>
                <w:b w:val="0"/>
              </w:rPr>
              <w:t xml:space="preserve"> kako se u promatranom razdoblju rashodi za energiju za kupnju benzina za uređenje okoliša nije realizirao u mjeri planiranog smanjio se planirani iznos za tu svrhu rashoda u skladu sa procjenom stvarne potrebe, dio utrošenih sredstava usmjereno je na potrebu za rashode za uslug</w:t>
            </w:r>
            <w:r w:rsidR="00E96755">
              <w:rPr>
                <w:b w:val="0"/>
              </w:rPr>
              <w:t>e</w:t>
            </w:r>
            <w:r>
              <w:rPr>
                <w:b w:val="0"/>
              </w:rPr>
              <w:t xml:space="preserve"> tekućeg </w:t>
            </w:r>
            <w:r w:rsidR="00E96755">
              <w:rPr>
                <w:b w:val="0"/>
              </w:rPr>
              <w:t xml:space="preserve">i investicijskom </w:t>
            </w:r>
            <w:r>
              <w:rPr>
                <w:b w:val="0"/>
              </w:rPr>
              <w:t xml:space="preserve">održavanja opreme kojom se osiguralo premještanje klima uređaja iz PŠ </w:t>
            </w:r>
            <w:proofErr w:type="spellStart"/>
            <w:r>
              <w:rPr>
                <w:b w:val="0"/>
              </w:rPr>
              <w:t>Dobreć</w:t>
            </w:r>
            <w:proofErr w:type="spellEnd"/>
            <w:r>
              <w:rPr>
                <w:b w:val="0"/>
              </w:rPr>
              <w:t xml:space="preserve"> koja se u školskoj godini kao područni odjelu zatvorila i njihovo premještanje u Matičnu školu, nešto su uvećani rashodi za reprezentaciju radi stvarne potrebe, te rashodi za zatezne kamate također u skladu sa stvarnom potrebom.</w:t>
            </w:r>
          </w:p>
          <w:p w:rsidR="00F406E1" w:rsidRDefault="00F406E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>
              <w:rPr>
                <w:b w:val="0"/>
              </w:rPr>
              <w:t>Višak prihoda ostvaren u 2022.godini Izm</w:t>
            </w:r>
            <w:r w:rsidR="00E96755">
              <w:rPr>
                <w:b w:val="0"/>
              </w:rPr>
              <w:t>i</w:t>
            </w:r>
            <w:r>
              <w:rPr>
                <w:b w:val="0"/>
              </w:rPr>
              <w:t xml:space="preserve">jenjenom i dopunjenom Odlukom o raspodijeli rezultata poslovanja i načinu korištenja viška prihoda u 2023.godini utrošit će se ovim rebalansom na rashode za </w:t>
            </w:r>
            <w:r w:rsidRPr="00F406E1">
              <w:rPr>
                <w:b w:val="0"/>
              </w:rPr>
              <w:t xml:space="preserve">materijal i usluga tekućeg održavanja opreme kojom se osiguralo premještanje klima uređaja iz PŠ </w:t>
            </w:r>
            <w:proofErr w:type="spellStart"/>
            <w:r w:rsidRPr="00F406E1">
              <w:rPr>
                <w:b w:val="0"/>
              </w:rPr>
              <w:t>Dobreć</w:t>
            </w:r>
            <w:proofErr w:type="spellEnd"/>
            <w:r w:rsidRPr="00F406E1">
              <w:rPr>
                <w:b w:val="0"/>
              </w:rPr>
              <w:t xml:space="preserve"> koja se u školskoj godini kao područni odjelu zatvorila i njihovo premještanje u Matičnu školu</w:t>
            </w:r>
            <w:r w:rsidR="00E96755">
              <w:rPr>
                <w:b w:val="0"/>
              </w:rPr>
              <w:t>.</w:t>
            </w:r>
          </w:p>
          <w:p w:rsidR="003D6775" w:rsidRDefault="003D6775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</w:p>
          <w:p w:rsidR="00E96755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004C4C">
              <w:rPr>
                <w:b w:val="0"/>
              </w:rPr>
              <w:t xml:space="preserve">Prihodi i rashodi iz izvora Prihodi za posebne namjene </w:t>
            </w:r>
            <w:r w:rsidR="00E96755">
              <w:rPr>
                <w:b w:val="0"/>
              </w:rPr>
              <w:t>povećani su radi povećanja očekivanih prihoda čime se ostvarila veća potreba za higijenskim materijalom i materijalom za čišćenje, te sitnim inventarom, dok su rashodi za zdravstvene usluge smanjeni jer su se uskladili sa dosad realiziranim i potrebama koje očekujemo do kraja 2023.godine.</w:t>
            </w:r>
            <w:r w:rsidR="00E703A8">
              <w:rPr>
                <w:b w:val="0"/>
              </w:rPr>
              <w:t xml:space="preserve"> Dio viška prihoda ostvaren u 2022.godini Izmijenjenom i dopunjenom Odluk</w:t>
            </w:r>
            <w:r w:rsidR="00A90178">
              <w:rPr>
                <w:b w:val="0"/>
              </w:rPr>
              <w:t>e</w:t>
            </w:r>
            <w:r w:rsidR="00E703A8">
              <w:rPr>
                <w:b w:val="0"/>
              </w:rPr>
              <w:t xml:space="preserve"> o raspodijeli rezultata poslovanja i načinu korištenja viška prihoda u 2023.godini utrošit će se ovim rebalansom na rashode za </w:t>
            </w:r>
            <w:r w:rsidR="00E703A8" w:rsidRPr="00F406E1">
              <w:rPr>
                <w:b w:val="0"/>
              </w:rPr>
              <w:t>usluga tekućeg održavanja opreme</w:t>
            </w:r>
            <w:r w:rsidR="00E703A8">
              <w:rPr>
                <w:b w:val="0"/>
              </w:rPr>
              <w:t xml:space="preserve">, a ostali planirani </w:t>
            </w:r>
            <w:r w:rsidR="00A90178">
              <w:rPr>
                <w:b w:val="0"/>
              </w:rPr>
              <w:t xml:space="preserve">rashodi </w:t>
            </w:r>
            <w:r w:rsidR="00E703A8">
              <w:rPr>
                <w:b w:val="0"/>
              </w:rPr>
              <w:t>u skladu su sa prethodnim planom.</w:t>
            </w:r>
          </w:p>
          <w:p w:rsidR="00E96755" w:rsidRDefault="00E96755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</w:p>
          <w:p w:rsidR="000354E9" w:rsidRPr="00004C4C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004C4C">
              <w:rPr>
                <w:b w:val="0"/>
              </w:rPr>
              <w:t xml:space="preserve">Prihodi i rashodi iz Državnog proračuna izvor Pomoći  </w:t>
            </w:r>
            <w:r w:rsidR="00E703A8">
              <w:rPr>
                <w:b w:val="0"/>
              </w:rPr>
              <w:t>smanjeni su</w:t>
            </w:r>
            <w:r w:rsidR="00C2182A">
              <w:rPr>
                <w:b w:val="0"/>
              </w:rPr>
              <w:t xml:space="preserve"> </w:t>
            </w:r>
            <w:r w:rsidR="00A90178">
              <w:rPr>
                <w:b w:val="0"/>
              </w:rPr>
              <w:t xml:space="preserve">dijelu programa Prehrana učenika u osnovnim školama jer su </w:t>
            </w:r>
            <w:r w:rsidR="00E703A8">
              <w:rPr>
                <w:b w:val="0"/>
              </w:rPr>
              <w:t xml:space="preserve"> usklađeni sa realiziranim i potrebama koje se očekuju do</w:t>
            </w:r>
            <w:r w:rsidR="00A90178">
              <w:rPr>
                <w:b w:val="0"/>
              </w:rPr>
              <w:t xml:space="preserve"> kraja 2023.godine</w:t>
            </w:r>
            <w:r w:rsidR="00C2182A">
              <w:rPr>
                <w:b w:val="0"/>
              </w:rPr>
              <w:t xml:space="preserve">. Rashodi koji se odnose na zaposlene usklađeni su sa stvarnim potrebama, pa tako su uvećani rashodi za prekovremeni rad koji ovise o bolovanjima djelatnika. </w:t>
            </w:r>
            <w:r w:rsidRPr="00004C4C">
              <w:rPr>
                <w:b w:val="0"/>
              </w:rPr>
              <w:t xml:space="preserve">Rashodi i prihodi financirani od strane nenadležnih JLS </w:t>
            </w:r>
            <w:r w:rsidR="00A90178">
              <w:rPr>
                <w:b w:val="0"/>
              </w:rPr>
              <w:t>u skladu su sa prvotno planiranim u ukupnosti, ali analitički su se sredstva raspodijelila u skladu sa stvarnim potrebama. Povećani su rashodi u dijelu intelektualnih usluga koje će nastati provođenjem radionica za stručno usavršavanje učenika i učitelja u skladu sa planom školskog kurikuluma za 2023./2024. školsku godinu.</w:t>
            </w:r>
          </w:p>
          <w:p w:rsidR="003B4471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 w:rsidRPr="00004C4C">
              <w:rPr>
                <w:b w:val="0"/>
              </w:rPr>
              <w:t>Prihodi i rashodi od naknada šteta s naslova osiguranja u skladu su sa prvotnim planom.</w:t>
            </w:r>
          </w:p>
          <w:p w:rsidR="00A90178" w:rsidRPr="00004C4C" w:rsidRDefault="00A90178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</w:rPr>
            </w:pPr>
            <w:r>
              <w:rPr>
                <w:b w:val="0"/>
              </w:rPr>
              <w:t>Prihodi i rashodi za nabavu udžbenika u skladu su sa prvotnim planom u ukupnosti, no analitički usklađeni su sa stvarno potrebnim rashodima koji su nastali po ovoj vrsti programa.</w:t>
            </w:r>
          </w:p>
          <w:p w:rsidR="003B4471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p w:rsidR="003B4471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  <w:tbl>
            <w:tblPr>
              <w:tblW w:w="5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1627"/>
              <w:gridCol w:w="992"/>
              <w:gridCol w:w="851"/>
              <w:gridCol w:w="1134"/>
            </w:tblGrid>
            <w:tr w:rsidR="003B4471" w:rsidRPr="009B2037" w:rsidTr="00A90178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Pokazatelj uspješnosti</w:t>
                  </w:r>
                </w:p>
              </w:tc>
              <w:tc>
                <w:tcPr>
                  <w:tcW w:w="1627" w:type="dxa"/>
                  <w:vAlign w:val="center"/>
                </w:tcPr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992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851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Polazna</w:t>
                  </w:r>
                </w:p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3B4471" w:rsidRPr="009B2037" w:rsidRDefault="003B4471" w:rsidP="00A20E95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="00A20E95">
                    <w:rPr>
                      <w:sz w:val="16"/>
                      <w:szCs w:val="16"/>
                    </w:rPr>
                    <w:t>3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3B4471" w:rsidRPr="007E7396" w:rsidTr="00A90178">
              <w:trPr>
                <w:trHeight w:val="1652"/>
              </w:trPr>
              <w:tc>
                <w:tcPr>
                  <w:tcW w:w="1252" w:type="dxa"/>
                </w:tcPr>
                <w:p w:rsidR="003B4471" w:rsidRPr="007E739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Realizacija nastavnog plana i programa škole</w:t>
                  </w:r>
                </w:p>
              </w:tc>
              <w:tc>
                <w:tcPr>
                  <w:tcW w:w="1627" w:type="dxa"/>
                </w:tcPr>
                <w:p w:rsidR="003B4471" w:rsidRPr="007E739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Omogućiti financiranje redovne nastave i realizacije nastavnog procesa prema planu i programu rada ustanove kako bi se zadržao što bolji standard realizacije odgojno obrazovnog procesa.</w:t>
                  </w:r>
                </w:p>
              </w:tc>
              <w:tc>
                <w:tcPr>
                  <w:tcW w:w="992" w:type="dxa"/>
                </w:tcPr>
                <w:p w:rsidR="003B4471" w:rsidRPr="007E739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%plan</w:t>
                  </w:r>
                </w:p>
              </w:tc>
              <w:tc>
                <w:tcPr>
                  <w:tcW w:w="851" w:type="dxa"/>
                </w:tcPr>
                <w:p w:rsidR="003B4471" w:rsidRPr="007E739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90</w:t>
                  </w: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3B4471" w:rsidRPr="007E739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95</w:t>
                  </w: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</w:t>
                  </w:r>
                </w:p>
              </w:tc>
            </w:tr>
            <w:tr w:rsidR="003B4471" w:rsidRPr="007E7396" w:rsidTr="00A90178">
              <w:trPr>
                <w:trHeight w:val="2724"/>
              </w:trPr>
              <w:tc>
                <w:tcPr>
                  <w:tcW w:w="1252" w:type="dxa"/>
                </w:tcPr>
                <w:p w:rsidR="003B4471" w:rsidRPr="007E739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Povećanje broja učenika uključenih u prehranu putem obroka školske kuhinje</w:t>
                  </w:r>
                </w:p>
              </w:tc>
              <w:tc>
                <w:tcPr>
                  <w:tcW w:w="1627" w:type="dxa"/>
                </w:tcPr>
                <w:p w:rsidR="003B4471" w:rsidRPr="007E739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Organiziranim obrocima školske marende osigurati učenicima redovitu i pravilnu prehranu za vrijeme boravka u školi</w:t>
                  </w:r>
                </w:p>
              </w:tc>
              <w:tc>
                <w:tcPr>
                  <w:tcW w:w="992" w:type="dxa"/>
                </w:tcPr>
                <w:p w:rsidR="003B4471" w:rsidRPr="007E739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7396">
                    <w:rPr>
                      <w:rFonts w:ascii="Arial" w:hAnsi="Arial" w:cs="Arial"/>
                      <w:sz w:val="14"/>
                      <w:szCs w:val="14"/>
                    </w:rPr>
                    <w:t>%plan</w:t>
                  </w:r>
                </w:p>
              </w:tc>
              <w:tc>
                <w:tcPr>
                  <w:tcW w:w="851" w:type="dxa"/>
                </w:tcPr>
                <w:p w:rsidR="003B4471" w:rsidRPr="007E739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70%</w:t>
                  </w:r>
                </w:p>
              </w:tc>
              <w:tc>
                <w:tcPr>
                  <w:tcW w:w="1134" w:type="dxa"/>
                </w:tcPr>
                <w:p w:rsidR="003B4471" w:rsidRPr="007E739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80%</w:t>
                  </w:r>
                </w:p>
              </w:tc>
            </w:tr>
          </w:tbl>
          <w:p w:rsidR="003B4471" w:rsidRPr="0007069C" w:rsidRDefault="003B4471" w:rsidP="00DF1F82">
            <w:pPr>
              <w:pStyle w:val="xl52"/>
              <w:spacing w:before="0" w:beforeAutospacing="0" w:after="0" w:afterAutospacing="0"/>
              <w:jc w:val="both"/>
              <w:textAlignment w:val="auto"/>
              <w:rPr>
                <w:b w:val="0"/>
                <w:sz w:val="18"/>
                <w:szCs w:val="18"/>
              </w:rPr>
            </w:pPr>
          </w:p>
        </w:tc>
      </w:tr>
      <w:tr w:rsidR="003B4471" w:rsidRPr="0015726F" w:rsidTr="00DF1F82">
        <w:trPr>
          <w:trHeight w:val="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471" w:rsidRPr="006229DB" w:rsidRDefault="003B4471" w:rsidP="00DF1F82">
            <w:pPr>
              <w:pStyle w:val="Naslov1"/>
            </w:pPr>
            <w:r w:rsidRPr="00802EA9">
              <w:rPr>
                <w:sz w:val="18"/>
                <w:szCs w:val="18"/>
              </w:rPr>
              <w:lastRenderedPageBreak/>
              <w:t>NAZIV PROGRAMA: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PRIORITET: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6E82" w:rsidRDefault="00B46E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0882" w:rsidRPr="00802EA9" w:rsidRDefault="00610882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ZAKONSKA OSNOVA ZA UVOĐENJE PROGRAMA: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pStyle w:val="Naslov1"/>
              <w:framePr w:hSpace="180" w:wrap="around" w:vAnchor="text" w:hAnchor="page" w:x="1601" w:y="-485"/>
              <w:rPr>
                <w:sz w:val="18"/>
                <w:szCs w:val="18"/>
              </w:rPr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framePr w:hSpace="180" w:wrap="around" w:vAnchor="text" w:hAnchor="page" w:x="1601" w:y="-485"/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SHODIŠTE I POKAZATELJI NA KOJIMA SE ZASNIVAJU IZRAČUNI I OCJENE POTREBNIH SREDSTAVA: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AZLOG ODSTUPANJA OD PROŠLOGODI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NJIH PROJEKCIJA: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1DB3" w:rsidRDefault="00611DB3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A44" w:rsidRDefault="00D50A44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6229DB" w:rsidRDefault="003B4471" w:rsidP="00DF1F82">
            <w:pPr>
              <w:pStyle w:val="Naslov1"/>
            </w:pPr>
            <w:r w:rsidRPr="00802EA9">
              <w:rPr>
                <w:sz w:val="18"/>
                <w:szCs w:val="18"/>
              </w:rPr>
              <w:lastRenderedPageBreak/>
              <w:t>NAZIV PROGRAMA: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POVEZANOST PROGRAMA SA STRATEŠKIM DOKUMENTIMA: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65EB" w:rsidRDefault="00C065EB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65EB" w:rsidRDefault="00C065EB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27483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3B4471"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SHODIŠTE I POKAZATELJI NA KOJIMA SE ZASNIVAJU IZRAČUNI I OCJENE POTREBNIH SREDSTAVA: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pStyle w:val="Naslov1"/>
              <w:rPr>
                <w:b w:val="0"/>
                <w:sz w:val="18"/>
                <w:szCs w:val="18"/>
              </w:rPr>
            </w:pPr>
          </w:p>
          <w:p w:rsidR="003B4471" w:rsidRDefault="003B4471" w:rsidP="00DF1F82"/>
          <w:p w:rsidR="003B4471" w:rsidRDefault="003B4471" w:rsidP="00DF1F82"/>
          <w:p w:rsidR="003B4471" w:rsidRDefault="003B4471" w:rsidP="00DF1F82"/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AZLOG ODSTUPANJA OD 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PROŠLOGODI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</w:t>
            </w: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NJIH PROJEKCIJA: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2EA9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Default="003B4471" w:rsidP="00DF1F82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471" w:rsidRDefault="003B4471" w:rsidP="00DF1F82"/>
          <w:p w:rsidR="003B4471" w:rsidRDefault="003B4471" w:rsidP="00DF1F82"/>
          <w:p w:rsidR="003B4471" w:rsidRDefault="003B4471" w:rsidP="00DF1F82"/>
          <w:p w:rsidR="003B4471" w:rsidRDefault="003B4471" w:rsidP="00DF1F82"/>
          <w:p w:rsidR="003B4471" w:rsidRDefault="003B4471" w:rsidP="00DF1F82"/>
          <w:p w:rsidR="003B4471" w:rsidRDefault="003B4471" w:rsidP="00DF1F82"/>
          <w:p w:rsidR="00611DB3" w:rsidRDefault="00611DB3" w:rsidP="003B4471">
            <w:pPr>
              <w:keepNext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keepNext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65EB" w:rsidRDefault="00C065EB" w:rsidP="003B4471">
            <w:pPr>
              <w:keepNext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NAZIV PROGRAMA: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STRATEŠKI CILJ: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POVEZANOST PROGRAMA SA STRATEŠKIM DOKUMENTIMA:</w:t>
            </w:r>
          </w:p>
          <w:p w:rsid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65EB" w:rsidRPr="003B4471" w:rsidRDefault="00C065EB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POSEBNI CILJ: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ZAKONSKA OSNOVA ZA UVOĐENJE PROGRAMA: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35E8" w:rsidRPr="003B4471" w:rsidRDefault="004035E8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ISHODIŠTE I POKAZATELJI NA KOJIMA SE ZASNIVAJU IZRAČUNI I OCJENE POTREBNIH SREDSTAVA: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2DE2" w:rsidRPr="003B4471" w:rsidRDefault="00042DE2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NAČIN I SREDSTVA ZA REALIZACIJU PROGRAMA: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DF1F82"/>
          <w:p w:rsidR="00042DE2" w:rsidRDefault="00042DE2" w:rsidP="00DF1F82"/>
          <w:p w:rsidR="00042DE2" w:rsidRDefault="00042DE2" w:rsidP="00DF1F82"/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RAZLOG ODSTUPANJA OD PROŠLOGODIŠNJIH PROJEKCIJA:</w:t>
            </w: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4FC0" w:rsidRDefault="00854FC0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147B" w:rsidRDefault="00AB147B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147B" w:rsidRDefault="00AB147B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147B" w:rsidRPr="003B4471" w:rsidRDefault="00AB147B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471">
              <w:rPr>
                <w:rFonts w:ascii="Arial" w:hAnsi="Arial" w:cs="Arial"/>
                <w:b/>
                <w:bCs/>
                <w:sz w:val="18"/>
                <w:szCs w:val="18"/>
              </w:rPr>
              <w:t>POKAZATELJI USPJEŠNOSTI :</w:t>
            </w: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3B4471" w:rsidRDefault="003B4471" w:rsidP="003B4471">
            <w:pPr>
              <w:framePr w:hSpace="180" w:wrap="around" w:vAnchor="text" w:hAnchor="page" w:x="1601" w:y="-48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4471" w:rsidRPr="00D124BD" w:rsidRDefault="003B4471" w:rsidP="00DF1F82"/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471" w:rsidRPr="0007069C" w:rsidRDefault="003B4471" w:rsidP="00DF1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471" w:rsidRDefault="003B4471" w:rsidP="00DF1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UNAPREĐENJE KVALITETE ODGOJNO OBRAZOVNOG SUSTAVA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OSNOVNA ŠKOLA VIKTORA CARA EMINA LOVRAN</w:t>
            </w:r>
          </w:p>
          <w:p w:rsidR="003B4471" w:rsidRDefault="003B4471" w:rsidP="00DF1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471" w:rsidRPr="00802EA9" w:rsidRDefault="003B4471" w:rsidP="00DF1F82">
            <w:pPr>
              <w:rPr>
                <w:rFonts w:ascii="Arial" w:hAnsi="Arial" w:cs="Arial"/>
                <w:sz w:val="18"/>
                <w:szCs w:val="18"/>
              </w:rPr>
            </w:pPr>
          </w:p>
          <w:p w:rsidR="003B4471" w:rsidRPr="008B4D82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 Razvoj ljudskih potencijala </w:t>
            </w:r>
            <w:r>
              <w:rPr>
                <w:rFonts w:ascii="Arial" w:hAnsi="Arial" w:cs="Arial"/>
                <w:sz w:val="20"/>
                <w:szCs w:val="20"/>
              </w:rPr>
              <w:t>i povećanje kvalitete života</w:t>
            </w:r>
          </w:p>
          <w:p w:rsidR="003B4471" w:rsidRPr="008B4D82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 xml:space="preserve">3.1. Razvoj svih razina i oblika obrazovanja </w:t>
            </w:r>
          </w:p>
          <w:p w:rsidR="003B4471" w:rsidRPr="008B4D82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Omogućiti stjecanje znanja i vještina učenika prema njihovim potrebama i interesima.</w:t>
            </w:r>
            <w:r w:rsidRPr="008B4D82">
              <w:rPr>
                <w:sz w:val="20"/>
                <w:szCs w:val="20"/>
              </w:rPr>
              <w:t xml:space="preserve"> 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Zadovoljiti specifične potrebe pojedinih grupacija učenika (s teškoćama, darovitih, učenika-putnika), poboljšati uvijete rada i unapređenje odvijanja odgojno obrazovnog procesa u školi, društveno promovirati djelatnost, poboljšati prostorne uvjete rada. 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EB763C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>Produženi boravak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 organiziran je u sklopu Matične škole Viktora Cara Emina u  Lovranu,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te u sklopu područne škole Eugen Kumičić u </w:t>
            </w:r>
            <w:proofErr w:type="spellStart"/>
            <w:r w:rsidRPr="00EB763C">
              <w:rPr>
                <w:rFonts w:ascii="Arial" w:hAnsi="Arial" w:cs="Arial"/>
                <w:sz w:val="20"/>
                <w:szCs w:val="20"/>
              </w:rPr>
              <w:t>Mošćeničkoj</w:t>
            </w:r>
            <w:proofErr w:type="spellEnd"/>
            <w:r w:rsidRPr="00EB763C">
              <w:rPr>
                <w:rFonts w:ascii="Arial" w:hAnsi="Arial" w:cs="Arial"/>
                <w:sz w:val="20"/>
                <w:szCs w:val="20"/>
              </w:rPr>
              <w:t xml:space="preserve"> Dragi.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>Produženi boravak u Matičnoj školi i u Područnoj Školi u 202</w:t>
            </w:r>
            <w:r w:rsidR="001847B7">
              <w:rPr>
                <w:rFonts w:ascii="Arial" w:hAnsi="Arial" w:cs="Arial"/>
                <w:sz w:val="20"/>
                <w:szCs w:val="20"/>
              </w:rPr>
              <w:t>3</w:t>
            </w:r>
            <w:r w:rsidRPr="00EB763C">
              <w:rPr>
                <w:rFonts w:ascii="Arial" w:hAnsi="Arial" w:cs="Arial"/>
                <w:sz w:val="20"/>
                <w:szCs w:val="20"/>
              </w:rPr>
              <w:t>. godini  financirat  će se iz proračuna  JLS  i roditelja učenika. Rad produženog boravka ima za cilj  olakšati roditeljima zbrinjavanje učenika  u vrijeme poslije nastave kada roditelji rade</w:t>
            </w:r>
            <w:r w:rsidR="00F057CC">
              <w:rPr>
                <w:rFonts w:ascii="Arial" w:hAnsi="Arial" w:cs="Arial"/>
                <w:sz w:val="20"/>
                <w:szCs w:val="20"/>
              </w:rPr>
              <w:t>. U sklopu ovog programa u 202</w:t>
            </w:r>
            <w:r w:rsidR="001847B7">
              <w:rPr>
                <w:rFonts w:ascii="Arial" w:hAnsi="Arial" w:cs="Arial"/>
                <w:sz w:val="20"/>
                <w:szCs w:val="20"/>
              </w:rPr>
              <w:t>2</w:t>
            </w:r>
            <w:r w:rsidR="00F057CC">
              <w:rPr>
                <w:rFonts w:ascii="Arial" w:hAnsi="Arial" w:cs="Arial"/>
                <w:sz w:val="20"/>
                <w:szCs w:val="20"/>
              </w:rPr>
              <w:t xml:space="preserve">.godini nastao je višak poslovanja koji će se u skladu sa usvojenom </w:t>
            </w:r>
            <w:r w:rsidR="00610882">
              <w:rPr>
                <w:rFonts w:ascii="Arial" w:hAnsi="Arial" w:cs="Arial"/>
                <w:sz w:val="20"/>
                <w:szCs w:val="20"/>
              </w:rPr>
              <w:t>Izmjenom i dopunom O</w:t>
            </w:r>
            <w:r w:rsidR="00F057CC">
              <w:rPr>
                <w:rFonts w:ascii="Arial" w:hAnsi="Arial" w:cs="Arial"/>
                <w:sz w:val="20"/>
                <w:szCs w:val="20"/>
              </w:rPr>
              <w:t>dluk</w:t>
            </w:r>
            <w:r w:rsidR="00610882">
              <w:rPr>
                <w:rFonts w:ascii="Arial" w:hAnsi="Arial" w:cs="Arial"/>
                <w:sz w:val="20"/>
                <w:szCs w:val="20"/>
              </w:rPr>
              <w:t>e</w:t>
            </w:r>
            <w:r w:rsidR="00F057CC">
              <w:rPr>
                <w:rFonts w:ascii="Arial" w:hAnsi="Arial" w:cs="Arial"/>
                <w:sz w:val="20"/>
                <w:szCs w:val="20"/>
              </w:rPr>
              <w:t xml:space="preserve"> o raspodijeli rezultata i načinu korištenja viška prihoda u 202</w:t>
            </w:r>
            <w:r w:rsidR="001847B7">
              <w:rPr>
                <w:rFonts w:ascii="Arial" w:hAnsi="Arial" w:cs="Arial"/>
                <w:sz w:val="20"/>
                <w:szCs w:val="20"/>
              </w:rPr>
              <w:t>3</w:t>
            </w:r>
            <w:r w:rsidR="00F057CC">
              <w:rPr>
                <w:rFonts w:ascii="Arial" w:hAnsi="Arial" w:cs="Arial"/>
                <w:sz w:val="20"/>
                <w:szCs w:val="20"/>
              </w:rPr>
              <w:t>.godini utrošiti namjenski na plaće zaposlenika tog programa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 u iznosu od </w:t>
            </w:r>
            <w:r w:rsidR="001847B7">
              <w:rPr>
                <w:rFonts w:ascii="Arial" w:hAnsi="Arial" w:cs="Arial"/>
                <w:sz w:val="20"/>
                <w:szCs w:val="20"/>
              </w:rPr>
              <w:t>1.571,26eura</w:t>
            </w:r>
            <w:r w:rsidR="00F057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EB763C" w:rsidRDefault="003B4471" w:rsidP="00DF1F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>Sufinanciranje pomoćnika u nastavi</w:t>
            </w:r>
          </w:p>
          <w:p w:rsidR="003B4471" w:rsidRPr="00EB763C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>Odnosi se na financiranje asistenata u nastavi za učenike sa poteškoćama u razvoju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>kojima je pomoć u nastavi prijeko potrebna. Program se financira iz sredstava  Županijskog proračuna .</w:t>
            </w:r>
          </w:p>
          <w:p w:rsidR="003B4471" w:rsidRPr="00EB763C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EB763C" w:rsidRDefault="003B4471" w:rsidP="00DF1F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B763C">
              <w:rPr>
                <w:rFonts w:ascii="Arial" w:hAnsi="Arial" w:cs="Arial"/>
                <w:b/>
                <w:sz w:val="20"/>
                <w:szCs w:val="20"/>
              </w:rPr>
              <w:t>ogram školskog kurikuluma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sz w:val="20"/>
                <w:szCs w:val="20"/>
              </w:rPr>
              <w:t xml:space="preserve">Odnosi se na program financiranja unapređenje odvijanja odgojno obrazovnog  procesa u školi, omogućivanje stjecanja znanja i vještina učenicima prema njihovim potrebama i interesima. Ovim se programom financira rad Školskog sportskog kluba, različite kreativne radionice, projekti, </w:t>
            </w:r>
            <w:r w:rsidRPr="00EB763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aktivnosti iz Kurikuluma škole (rad s učenicima sa drugačijim potrebama, rad sa darovitim učenicima, rad Dječjeg zbora Lovranske </w:t>
            </w:r>
            <w:proofErr w:type="spellStart"/>
            <w:r w:rsidRPr="00EB76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črešnjice</w:t>
            </w:r>
            <w:proofErr w:type="spellEnd"/>
            <w:r w:rsidRPr="00EB763C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EB763C">
              <w:rPr>
                <w:rFonts w:ascii="Arial" w:hAnsi="Arial" w:cs="Arial"/>
                <w:sz w:val="20"/>
                <w:szCs w:val="20"/>
              </w:rPr>
              <w:t>. Sredstva se financiraju dijelom iz Županijskog proračuna, djelom iz proračuna JLS.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 Tijekom 202</w:t>
            </w:r>
            <w:r w:rsidR="00251C50">
              <w:rPr>
                <w:rFonts w:ascii="Arial" w:hAnsi="Arial" w:cs="Arial"/>
                <w:sz w:val="20"/>
                <w:szCs w:val="20"/>
              </w:rPr>
              <w:t>2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.godine ostvaren je višak prihoda poslovanja u iznosu od </w:t>
            </w:r>
            <w:r w:rsidR="00251C50">
              <w:rPr>
                <w:rFonts w:ascii="Arial" w:hAnsi="Arial" w:cs="Arial"/>
                <w:sz w:val="20"/>
                <w:szCs w:val="20"/>
              </w:rPr>
              <w:t>2.521,73eura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 financiran iz Državnog proračuna za projekt Izvannastavne aktivnosti koji je nastao jer se prihod odnosi na školsku godinu i koji će</w:t>
            </w:r>
            <w:r w:rsidR="00610882">
              <w:rPr>
                <w:rFonts w:ascii="Arial" w:hAnsi="Arial" w:cs="Arial"/>
                <w:sz w:val="20"/>
                <w:szCs w:val="20"/>
              </w:rPr>
              <w:t xml:space="preserve"> Izmjenom i dopunom 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 Odluk</w:t>
            </w:r>
            <w:r w:rsidR="00610882">
              <w:rPr>
                <w:rFonts w:ascii="Arial" w:hAnsi="Arial" w:cs="Arial"/>
                <w:sz w:val="20"/>
                <w:szCs w:val="20"/>
              </w:rPr>
              <w:t>e o</w:t>
            </w:r>
            <w:r w:rsidR="00B46E82">
              <w:rPr>
                <w:rFonts w:ascii="Arial" w:hAnsi="Arial" w:cs="Arial"/>
                <w:sz w:val="20"/>
                <w:szCs w:val="20"/>
              </w:rPr>
              <w:t xml:space="preserve"> raspodijeli rezultata i načinu korištenja viška prihoda u 202</w:t>
            </w:r>
            <w:r w:rsidR="00251C50">
              <w:rPr>
                <w:rFonts w:ascii="Arial" w:hAnsi="Arial" w:cs="Arial"/>
                <w:sz w:val="20"/>
                <w:szCs w:val="20"/>
              </w:rPr>
              <w:t>3</w:t>
            </w:r>
            <w:r w:rsidR="00B46E82">
              <w:rPr>
                <w:rFonts w:ascii="Arial" w:hAnsi="Arial" w:cs="Arial"/>
                <w:sz w:val="20"/>
                <w:szCs w:val="20"/>
              </w:rPr>
              <w:t>.godini utrošiti namjenski u skladu sa potrebama projekta.</w:t>
            </w:r>
          </w:p>
          <w:p w:rsidR="00610882" w:rsidRDefault="00610882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882" w:rsidRPr="00610882" w:rsidRDefault="00610882" w:rsidP="00DF1F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882">
              <w:rPr>
                <w:rFonts w:ascii="Arial" w:hAnsi="Arial" w:cs="Arial"/>
                <w:b/>
                <w:sz w:val="20"/>
                <w:szCs w:val="20"/>
              </w:rPr>
              <w:t>Županijska škola plivanja</w:t>
            </w:r>
          </w:p>
          <w:p w:rsidR="00610882" w:rsidRDefault="00610882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882" w:rsidRDefault="00610882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puta u proračunu u sklopu programa Unapređenje kvalitete odgojno obrazovnog sustava imamo i ovaj projekt kojeg financira Osnivač PGŽ, te se prihodi i rashodi pojavljuju prvi puta u proračunu. Projekt služi da djeca mlađih razreda nauče plivati.</w:t>
            </w:r>
          </w:p>
          <w:p w:rsidR="00610882" w:rsidRDefault="00610882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882" w:rsidRPr="004E36C7" w:rsidRDefault="00610882" w:rsidP="00DF1F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6C7">
              <w:rPr>
                <w:rFonts w:ascii="Arial" w:hAnsi="Arial" w:cs="Arial"/>
                <w:b/>
                <w:sz w:val="20"/>
                <w:szCs w:val="20"/>
              </w:rPr>
              <w:t>Osiguranje besplatnih zaliha menstrualnih higijenskih potrepština</w:t>
            </w:r>
          </w:p>
          <w:p w:rsidR="00610882" w:rsidRDefault="00610882" w:rsidP="001810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puta u proračunu u sklopu programa Unapređenje kvalitete odgojno obrazovnog sustava imamo i ovaj projekt kojeg financira Ministarstvo , te se prihodi i rashodi pojavljuju prvi puta u proračunu. Projekt služi kako bi se svim učenicima osigurale higijenske potrepštine neovisno o imovinskom stanju učenika.</w:t>
            </w:r>
          </w:p>
          <w:p w:rsidR="00610882" w:rsidRDefault="00610882" w:rsidP="001810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882" w:rsidRDefault="00610882" w:rsidP="001810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882" w:rsidRDefault="00610882" w:rsidP="001810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1088" w:rsidRPr="008B4D82" w:rsidRDefault="00181088" w:rsidP="0018108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-o</w:t>
            </w:r>
            <w:r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 5/12, 16/12, 86/12, 86/12, 126/12, 94/13, 152/14, 07/17, 68/18 , 98/19, 64/20), Zakona o ustanovama (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76/93, 29/97, 47/99, 35/08,127/19</w:t>
            </w:r>
            <w:r w:rsidR="00545427">
              <w:rPr>
                <w:rFonts w:ascii="Arial" w:hAnsi="Arial" w:cs="Arial"/>
                <w:sz w:val="20"/>
                <w:szCs w:val="20"/>
              </w:rPr>
              <w:t>, 151/22</w:t>
            </w:r>
            <w:r w:rsidRPr="008B4D82">
              <w:rPr>
                <w:rFonts w:ascii="Arial" w:hAnsi="Arial" w:cs="Arial"/>
                <w:sz w:val="20"/>
                <w:szCs w:val="20"/>
              </w:rPr>
              <w:t>); Zakon o lokalnoj i područnoj (regionalnoj) samoupravi (NN 33/01, 60/01, 129/05, 109,07, 125/08, 36/09, 150/11, 144/12, 19/13, 137/15, 123/17, 98/19</w:t>
            </w:r>
            <w:r>
              <w:rPr>
                <w:rFonts w:ascii="Arial" w:hAnsi="Arial" w:cs="Arial"/>
                <w:sz w:val="20"/>
                <w:szCs w:val="20"/>
              </w:rPr>
              <w:t>,144/20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(NN, 127/17</w:t>
            </w:r>
            <w:r>
              <w:rPr>
                <w:rFonts w:ascii="Arial" w:hAnsi="Arial" w:cs="Arial"/>
                <w:sz w:val="20"/>
                <w:szCs w:val="20"/>
              </w:rPr>
              <w:t>, 138/20</w:t>
            </w:r>
            <w:r w:rsidR="00545427">
              <w:rPr>
                <w:rFonts w:ascii="Arial" w:hAnsi="Arial" w:cs="Arial"/>
                <w:sz w:val="20"/>
                <w:szCs w:val="20"/>
              </w:rPr>
              <w:t>, 151/22</w:t>
            </w:r>
            <w:r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>
              <w:rPr>
                <w:rFonts w:ascii="Arial" w:hAnsi="Arial" w:cs="Arial"/>
                <w:sz w:val="20"/>
                <w:szCs w:val="20"/>
              </w:rPr>
              <w:t>56/22</w:t>
            </w:r>
            <w:r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81088" w:rsidRPr="008B4D82" w:rsidRDefault="00181088" w:rsidP="00181088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Odluka o kriterijima, mjerilima i načinu financiranja minimalnog financijskog standarda za dece</w:t>
            </w:r>
            <w:r w:rsidR="00485F6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tralizirane funkcije osnovnog i srednjeg školstva u 2023.godini</w:t>
            </w:r>
          </w:p>
          <w:p w:rsidR="00181088" w:rsidRPr="008B4D82" w:rsidRDefault="00181088" w:rsidP="00181088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610882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</w:p>
          <w:p w:rsidR="00181088" w:rsidRPr="008B4D82" w:rsidRDefault="00181088" w:rsidP="00181088">
            <w:pPr>
              <w:framePr w:wrap="auto" w:hAnchor="text" w:x="1601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610882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DB3" w:rsidRDefault="00611DB3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Osnova za izračun i ocjenu potrebnih sredstava temelji se na ostvar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nim troškovima iz prethodnih godina, potrebe ciljanih skupina, sklopljenih Ugovora za korištenje usluge  produženog boravka, sklopljenih Ugovora o financiranju sa JLS temeljem </w:t>
            </w:r>
            <w:r>
              <w:rPr>
                <w:rFonts w:ascii="Arial" w:hAnsi="Arial" w:cs="Arial"/>
                <w:sz w:val="20"/>
                <w:szCs w:val="20"/>
              </w:rPr>
              <w:t>usvojenog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Plana rada Ustanove,  i Odluke o   kriterijima, mjerilima i načinu financiranja minimalnog financijskog standarda za decentralizirane funkcije osnovnog školstva u 202</w:t>
            </w:r>
            <w:r w:rsidR="00181088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88" w:rsidRDefault="00181088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088" w:rsidRDefault="00181088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181088" w:rsidRPr="0007069C" w:rsidTr="004E5280">
              <w:tc>
                <w:tcPr>
                  <w:tcW w:w="556" w:type="dxa"/>
                </w:tcPr>
                <w:p w:rsidR="00181088" w:rsidRPr="0007069C" w:rsidRDefault="00181088" w:rsidP="0018108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181088" w:rsidRPr="0007069C" w:rsidRDefault="00181088" w:rsidP="0018108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UNAPREĐENJE KVALITETE ODGOJNO OBRAZOVNOG SUSTAVA</w:t>
                  </w:r>
                </w:p>
              </w:tc>
              <w:tc>
                <w:tcPr>
                  <w:tcW w:w="1276" w:type="dxa"/>
                </w:tcPr>
                <w:p w:rsidR="00181088" w:rsidRPr="0007069C" w:rsidRDefault="00181088" w:rsidP="00181088">
                  <w:pPr>
                    <w:pStyle w:val="Naslov7"/>
                    <w:rPr>
                      <w:b w:val="0"/>
                      <w:szCs w:val="18"/>
                    </w:rPr>
                  </w:pPr>
                  <w:r w:rsidRPr="0007069C">
                    <w:rPr>
                      <w:b w:val="0"/>
                      <w:szCs w:val="18"/>
                    </w:rPr>
                    <w:t>20</w:t>
                  </w:r>
                  <w:r>
                    <w:rPr>
                      <w:b w:val="0"/>
                      <w:szCs w:val="18"/>
                    </w:rPr>
                    <w:t>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396E9D" w:rsidRPr="0007069C" w:rsidTr="004E5280">
              <w:tc>
                <w:tcPr>
                  <w:tcW w:w="556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396E9D" w:rsidRPr="002432FB" w:rsidRDefault="00396E9D" w:rsidP="00396E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Produženi boravak učenika</w:t>
                  </w:r>
                </w:p>
              </w:tc>
              <w:tc>
                <w:tcPr>
                  <w:tcW w:w="1276" w:type="dxa"/>
                </w:tcPr>
                <w:p w:rsidR="00396E9D" w:rsidRPr="0007069C" w:rsidRDefault="00396E9D" w:rsidP="00396E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142.048,29</w:t>
                  </w:r>
                </w:p>
              </w:tc>
            </w:tr>
            <w:tr w:rsidR="00396E9D" w:rsidRPr="0007069C" w:rsidTr="004E5280">
              <w:tc>
                <w:tcPr>
                  <w:tcW w:w="556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91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Program školskog kurikuluma</w:t>
                  </w:r>
                </w:p>
              </w:tc>
              <w:tc>
                <w:tcPr>
                  <w:tcW w:w="1276" w:type="dxa"/>
                </w:tcPr>
                <w:p w:rsidR="00396E9D" w:rsidRPr="0007069C" w:rsidRDefault="00396E9D" w:rsidP="00396E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6.774,92</w:t>
                  </w:r>
                </w:p>
              </w:tc>
            </w:tr>
            <w:tr w:rsidR="00396E9D" w:rsidRPr="0007069C" w:rsidTr="004E5280">
              <w:tc>
                <w:tcPr>
                  <w:tcW w:w="556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91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Sufinanciranje rada pomoćnika u nastavi</w:t>
                  </w:r>
                </w:p>
              </w:tc>
              <w:tc>
                <w:tcPr>
                  <w:tcW w:w="1276" w:type="dxa"/>
                </w:tcPr>
                <w:p w:rsidR="00396E9D" w:rsidRPr="0007069C" w:rsidRDefault="00396E9D" w:rsidP="00396E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22.000,18</w:t>
                  </w:r>
                </w:p>
              </w:tc>
            </w:tr>
            <w:tr w:rsidR="00396E9D" w:rsidRPr="0007069C" w:rsidTr="004E5280">
              <w:tc>
                <w:tcPr>
                  <w:tcW w:w="556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91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Županijska škola plivanja</w:t>
                  </w:r>
                </w:p>
              </w:tc>
              <w:tc>
                <w:tcPr>
                  <w:tcW w:w="1276" w:type="dxa"/>
                </w:tcPr>
                <w:p w:rsidR="00396E9D" w:rsidRPr="0007069C" w:rsidRDefault="00396E9D" w:rsidP="00396E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1.243,00</w:t>
                  </w:r>
                </w:p>
              </w:tc>
            </w:tr>
            <w:tr w:rsidR="00396E9D" w:rsidRPr="0007069C" w:rsidTr="004E5280">
              <w:tc>
                <w:tcPr>
                  <w:tcW w:w="556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91" w:type="dxa"/>
                </w:tcPr>
                <w:p w:rsidR="00396E9D" w:rsidRPr="0007069C" w:rsidRDefault="00396E9D" w:rsidP="00396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Osiguranje besplatnih zaliha menstrualnih higijenskih potrepština</w:t>
                  </w:r>
                </w:p>
              </w:tc>
              <w:tc>
                <w:tcPr>
                  <w:tcW w:w="1276" w:type="dxa"/>
                </w:tcPr>
                <w:p w:rsidR="00396E9D" w:rsidRPr="0007069C" w:rsidRDefault="00396E9D" w:rsidP="00396E9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883,40</w:t>
                  </w:r>
                </w:p>
              </w:tc>
            </w:tr>
            <w:tr w:rsidR="00396E9D" w:rsidRPr="0007069C" w:rsidTr="004E5280">
              <w:tc>
                <w:tcPr>
                  <w:tcW w:w="556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396E9D" w:rsidRPr="0007069C" w:rsidRDefault="00396E9D" w:rsidP="00396E9D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396E9D" w:rsidRPr="0007069C" w:rsidRDefault="00396E9D" w:rsidP="00396E9D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172.949,79</w:t>
                  </w:r>
                </w:p>
              </w:tc>
            </w:tr>
          </w:tbl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A25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i rashodi financirani od strane Osnivača za realizaciju programa Rad pomoćnika u nastavi </w:t>
            </w:r>
            <w:r w:rsidR="005C3947">
              <w:rPr>
                <w:rFonts w:ascii="Arial" w:hAnsi="Arial" w:cs="Arial"/>
                <w:sz w:val="20"/>
                <w:szCs w:val="20"/>
              </w:rPr>
              <w:t>smanjeni</w:t>
            </w:r>
            <w:r>
              <w:rPr>
                <w:rFonts w:ascii="Arial" w:hAnsi="Arial" w:cs="Arial"/>
                <w:sz w:val="20"/>
                <w:szCs w:val="20"/>
              </w:rPr>
              <w:t xml:space="preserve"> su u odnosu na prvotni plan iz razloga što s</w:t>
            </w:r>
            <w:r w:rsidR="005C394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u školskoj godini 202</w:t>
            </w:r>
            <w:r w:rsidR="005C394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./202</w:t>
            </w:r>
            <w:r w:rsidR="005C39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3947">
              <w:rPr>
                <w:rFonts w:ascii="Arial" w:hAnsi="Arial" w:cs="Arial"/>
                <w:sz w:val="20"/>
                <w:szCs w:val="20"/>
              </w:rPr>
              <w:t>zaposlen</w:t>
            </w:r>
            <w:r w:rsidR="00485F60">
              <w:rPr>
                <w:rFonts w:ascii="Arial" w:hAnsi="Arial" w:cs="Arial"/>
                <w:sz w:val="20"/>
                <w:szCs w:val="20"/>
              </w:rPr>
              <w:t>e</w:t>
            </w:r>
            <w:r w:rsidR="005C3947">
              <w:rPr>
                <w:rFonts w:ascii="Arial" w:hAnsi="Arial" w:cs="Arial"/>
                <w:sz w:val="20"/>
                <w:szCs w:val="20"/>
              </w:rPr>
              <w:t xml:space="preserve"> samo dvije pomoćnice u nastavi , a prvotni plan rađen je na bazi tri pomoćnice kao što smo imali do sadašnjih godina.</w:t>
            </w:r>
          </w:p>
          <w:p w:rsidR="005C3947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785">
              <w:rPr>
                <w:rFonts w:ascii="Arial" w:hAnsi="Arial" w:cs="Arial"/>
                <w:sz w:val="20"/>
                <w:szCs w:val="20"/>
              </w:rPr>
              <w:t xml:space="preserve">Program Školskog kurikuluma financiran od strane Županije </w:t>
            </w:r>
            <w:r w:rsidR="005C3947">
              <w:rPr>
                <w:rFonts w:ascii="Arial" w:hAnsi="Arial" w:cs="Arial"/>
                <w:sz w:val="20"/>
                <w:szCs w:val="20"/>
              </w:rPr>
              <w:t xml:space="preserve">u skladu je sa </w:t>
            </w:r>
            <w:r w:rsidRPr="00AE6785">
              <w:rPr>
                <w:rFonts w:ascii="Arial" w:hAnsi="Arial" w:cs="Arial"/>
                <w:sz w:val="20"/>
                <w:szCs w:val="20"/>
              </w:rPr>
              <w:t xml:space="preserve"> prvotni</w:t>
            </w:r>
            <w:r w:rsidR="005C3947">
              <w:rPr>
                <w:rFonts w:ascii="Arial" w:hAnsi="Arial" w:cs="Arial"/>
                <w:sz w:val="20"/>
                <w:szCs w:val="20"/>
              </w:rPr>
              <w:t>m</w:t>
            </w:r>
            <w:r w:rsidRPr="00AE6785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5C3947">
              <w:rPr>
                <w:rFonts w:ascii="Arial" w:hAnsi="Arial" w:cs="Arial"/>
                <w:sz w:val="20"/>
                <w:szCs w:val="20"/>
              </w:rPr>
              <w:t>om i tu nije došlo do nikakvih promjena.</w:t>
            </w:r>
          </w:p>
          <w:p w:rsidR="00AE6785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E6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0A96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785">
              <w:rPr>
                <w:rFonts w:ascii="Arial" w:hAnsi="Arial" w:cs="Arial"/>
                <w:sz w:val="20"/>
                <w:szCs w:val="20"/>
              </w:rPr>
              <w:lastRenderedPageBreak/>
              <w:t xml:space="preserve">Kod izvora </w:t>
            </w:r>
            <w:r w:rsidR="00485F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785">
              <w:rPr>
                <w:rFonts w:ascii="Arial" w:hAnsi="Arial" w:cs="Arial"/>
                <w:sz w:val="20"/>
                <w:szCs w:val="20"/>
              </w:rPr>
              <w:t xml:space="preserve">financiranja od strane JLS izvor Pomoći </w:t>
            </w:r>
            <w:r w:rsidR="00210A96">
              <w:rPr>
                <w:rFonts w:ascii="Arial" w:hAnsi="Arial" w:cs="Arial"/>
                <w:sz w:val="20"/>
                <w:szCs w:val="20"/>
              </w:rPr>
              <w:t xml:space="preserve">povećani su rashodi po projektu iz razloga što dio </w:t>
            </w:r>
            <w:r w:rsidR="00485F60">
              <w:rPr>
                <w:rFonts w:ascii="Arial" w:hAnsi="Arial" w:cs="Arial"/>
                <w:sz w:val="20"/>
                <w:szCs w:val="20"/>
              </w:rPr>
              <w:t xml:space="preserve">koji je bio usmjeren u rad socijalnog pedagoga raspodijelio na ovaj projekt jer nemamo više zaposlenika na tom radnom mjestu. </w:t>
            </w:r>
          </w:p>
          <w:p w:rsidR="00840370" w:rsidRDefault="00AE6785" w:rsidP="008403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Također su ostvareni preneseni višak prihoda iz 2022.godine koji se odnosi na projekt Morska priča čiji je prihod uplaćen krajem 2022. godine</w:t>
            </w:r>
            <w:r w:rsidR="00C97DA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 realizacija Projekta biti će ostvarena u drugom polugodištu školske godine 2022./2023. Ova vrsta rashoda </w:t>
            </w:r>
            <w:r w:rsidR="00210A96">
              <w:rPr>
                <w:rFonts w:ascii="Arial" w:hAnsi="Arial" w:cs="Arial"/>
                <w:sz w:val="20"/>
                <w:szCs w:val="20"/>
              </w:rPr>
              <w:t>planirana je u skladu sa rashodima planiranim u prvotnom planu i nema odstupanja,</w:t>
            </w:r>
          </w:p>
          <w:p w:rsidR="00210A96" w:rsidRDefault="003B4471" w:rsidP="008403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rashodi za realizaciju programa Produženi boravak</w:t>
            </w:r>
            <w:r w:rsidR="00AE67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A96">
              <w:rPr>
                <w:rFonts w:ascii="Arial" w:hAnsi="Arial" w:cs="Arial"/>
                <w:sz w:val="20"/>
                <w:szCs w:val="20"/>
              </w:rPr>
              <w:t>u skladu su sa prvotno planiranim rashodima, neka odstupanja postoje u smanjenju rashoda za prekovremeni rad i uredski materijal jer je uočeno da neće biti potrebe za tom vrstom rashoda do kraja godine.</w:t>
            </w:r>
          </w:p>
          <w:p w:rsidR="00210A96" w:rsidRDefault="00210A96" w:rsidP="00210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A96">
              <w:rPr>
                <w:rFonts w:ascii="Arial" w:hAnsi="Arial" w:cs="Arial"/>
                <w:sz w:val="20"/>
                <w:szCs w:val="20"/>
              </w:rPr>
              <w:t>Županijska škola plivanja po prvi</w:t>
            </w:r>
            <w:r>
              <w:rPr>
                <w:rFonts w:ascii="Arial" w:hAnsi="Arial" w:cs="Arial"/>
                <w:sz w:val="20"/>
                <w:szCs w:val="20"/>
              </w:rPr>
              <w:t xml:space="preserve"> puta se nalazi u proračunu u sklopu programa Unapređenje kvalitete odgojno obrazovnog sustava Projekt financira Osnivač PGŽ, te se prihodi i rashodi pojavljuju prvi puta u proračunu. </w:t>
            </w:r>
          </w:p>
          <w:p w:rsidR="00210A96" w:rsidRDefault="00210A96" w:rsidP="00210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0A96" w:rsidRDefault="00210A96" w:rsidP="00210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A96">
              <w:rPr>
                <w:rFonts w:ascii="Arial" w:hAnsi="Arial" w:cs="Arial"/>
                <w:sz w:val="20"/>
                <w:szCs w:val="20"/>
              </w:rPr>
              <w:t>Osiguranje besplatnih zaliha menstrualnih higijenskih potrepština</w:t>
            </w:r>
            <w:r>
              <w:rPr>
                <w:rFonts w:ascii="Arial" w:hAnsi="Arial" w:cs="Arial"/>
                <w:sz w:val="20"/>
                <w:szCs w:val="20"/>
              </w:rPr>
              <w:t xml:space="preserve"> po prvi puta se nalazi u proračunu u sklopu programa Unapređenje kvalitete odgojno obrazovnog sustava. Projekt financira Ministarstvo , te se prihodi i rashodi pojavljuju prvi puta u proračunu. </w:t>
            </w:r>
          </w:p>
          <w:p w:rsidR="00840370" w:rsidRDefault="00840370" w:rsidP="0084037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1193"/>
              <w:gridCol w:w="742"/>
              <w:gridCol w:w="992"/>
            </w:tblGrid>
            <w:tr w:rsidR="003B4471" w:rsidRPr="009B2037" w:rsidTr="00DF1F82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</w:t>
                  </w: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1193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742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Polazna</w:t>
                  </w:r>
                </w:p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3B4471" w:rsidRPr="009B2037" w:rsidRDefault="003B4471" w:rsidP="00840370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="00840370">
                    <w:rPr>
                      <w:sz w:val="16"/>
                      <w:szCs w:val="16"/>
                    </w:rPr>
                    <w:t>3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3B4471" w:rsidRPr="009B2037" w:rsidTr="00DF1F82">
              <w:trPr>
                <w:trHeight w:val="151"/>
              </w:trPr>
              <w:tc>
                <w:tcPr>
                  <w:tcW w:w="12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 koji koriste uslugu  produženog boravka</w:t>
                  </w:r>
                </w:p>
              </w:tc>
              <w:tc>
                <w:tcPr>
                  <w:tcW w:w="9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Omogućiti skrb učenika putnika </w:t>
                  </w:r>
                </w:p>
              </w:tc>
              <w:tc>
                <w:tcPr>
                  <w:tcW w:w="1193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3B4471" w:rsidRPr="00217E36" w:rsidRDefault="00D50A44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:rsidR="003B4471" w:rsidRPr="00217E36" w:rsidRDefault="00D50A44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96</w:t>
                  </w:r>
                </w:p>
              </w:tc>
            </w:tr>
            <w:tr w:rsidR="003B4471" w:rsidRPr="009B2037" w:rsidTr="00DF1F82">
              <w:trPr>
                <w:trHeight w:val="188"/>
              </w:trPr>
              <w:tc>
                <w:tcPr>
                  <w:tcW w:w="12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Što veći broj  asistenata u nastavi</w:t>
                  </w:r>
                </w:p>
              </w:tc>
              <w:tc>
                <w:tcPr>
                  <w:tcW w:w="9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Omogućiti pomoć učenicima sa teškoćama u razvoju </w:t>
                  </w:r>
                </w:p>
              </w:tc>
              <w:tc>
                <w:tcPr>
                  <w:tcW w:w="1193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3B4471" w:rsidRPr="00217E36" w:rsidRDefault="00D50A44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3B4471" w:rsidRPr="00217E36" w:rsidRDefault="00D50A44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</w:tr>
            <w:tr w:rsidR="003B4471" w:rsidRPr="009B2037" w:rsidTr="00DF1F82">
              <w:trPr>
                <w:trHeight w:val="188"/>
              </w:trPr>
              <w:tc>
                <w:tcPr>
                  <w:tcW w:w="12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Sufinanciranjem programa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mogućiti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što veći 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kreativnih i edukativnih  projekata i radionica, te poveć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ati broj učenika koji sudjeluju 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u njima.</w:t>
                  </w:r>
                </w:p>
              </w:tc>
              <w:tc>
                <w:tcPr>
                  <w:tcW w:w="9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Poticati kreativni rad i sudjelovanje učenika u raznim edukativnim i kreativnim projektima i aktivnostima</w:t>
                  </w:r>
                </w:p>
              </w:tc>
              <w:tc>
                <w:tcPr>
                  <w:tcW w:w="1193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311</w:t>
                  </w:r>
                </w:p>
              </w:tc>
              <w:tc>
                <w:tcPr>
                  <w:tcW w:w="992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320</w:t>
                  </w:r>
                </w:p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B4471" w:rsidRPr="009B2037" w:rsidTr="00C065EB">
              <w:trPr>
                <w:trHeight w:val="593"/>
              </w:trPr>
              <w:tc>
                <w:tcPr>
                  <w:tcW w:w="1252" w:type="dxa"/>
                </w:tcPr>
                <w:p w:rsidR="003B4471" w:rsidRPr="00217E36" w:rsidRDefault="00C065EB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Sufinanciranje škole u prirodi</w:t>
                  </w:r>
                </w:p>
              </w:tc>
              <w:tc>
                <w:tcPr>
                  <w:tcW w:w="952" w:type="dxa"/>
                </w:tcPr>
                <w:p w:rsidR="003B4471" w:rsidRPr="00217E36" w:rsidRDefault="00C065EB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Učenje učenika plivačkim vještinama</w:t>
                  </w:r>
                </w:p>
              </w:tc>
              <w:tc>
                <w:tcPr>
                  <w:tcW w:w="1193" w:type="dxa"/>
                </w:tcPr>
                <w:p w:rsidR="003B4471" w:rsidRPr="00217E36" w:rsidRDefault="00C065EB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3B4471" w:rsidRPr="00217E36" w:rsidRDefault="00C065EB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3B4471" w:rsidRPr="00217E36" w:rsidRDefault="00C065EB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</w:tr>
            <w:tr w:rsidR="00C065EB" w:rsidRPr="009B2037" w:rsidTr="00C065EB">
              <w:trPr>
                <w:trHeight w:val="702"/>
              </w:trPr>
              <w:tc>
                <w:tcPr>
                  <w:tcW w:w="1252" w:type="dxa"/>
                </w:tcPr>
                <w:p w:rsidR="00C065EB" w:rsidRPr="00217E36" w:rsidRDefault="00C065EB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Sufinanciranje higijenskih potrepština</w:t>
                  </w:r>
                </w:p>
              </w:tc>
              <w:tc>
                <w:tcPr>
                  <w:tcW w:w="952" w:type="dxa"/>
                </w:tcPr>
                <w:p w:rsidR="00C065EB" w:rsidRPr="00217E36" w:rsidRDefault="00C065EB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Osiguranje svim učenicima neophodno potrebne higijenske potrepštine</w:t>
                  </w:r>
                </w:p>
              </w:tc>
              <w:tc>
                <w:tcPr>
                  <w:tcW w:w="1193" w:type="dxa"/>
                </w:tcPr>
                <w:p w:rsidR="00C065EB" w:rsidRPr="00217E36" w:rsidRDefault="00C065EB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C065EB" w:rsidRPr="00217E36" w:rsidRDefault="00C065EB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185</w:t>
                  </w:r>
                </w:p>
              </w:tc>
              <w:tc>
                <w:tcPr>
                  <w:tcW w:w="992" w:type="dxa"/>
                </w:tcPr>
                <w:p w:rsidR="00C065EB" w:rsidRPr="00217E36" w:rsidRDefault="00C065EB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184</w:t>
                  </w:r>
                </w:p>
              </w:tc>
            </w:tr>
          </w:tbl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50A44" w:rsidRDefault="00D50A44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50A44" w:rsidRDefault="00D50A44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50A44" w:rsidRDefault="00D50A44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50A44" w:rsidRDefault="00D50A44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50A44" w:rsidRDefault="00D50A44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2A3DBD" w:rsidRDefault="003B4471" w:rsidP="00DF1F8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3D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PROGRAM OBILJEŽAVANJE POSTIGNUĆA UČENIKA I NASTAVNIKA</w:t>
            </w:r>
          </w:p>
          <w:p w:rsidR="00C73268" w:rsidRDefault="00C73268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73268" w:rsidRDefault="00C73268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Razvoj ljudskih potencijala i povećanje kvalitete života</w:t>
            </w: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Unapređenje obrazovnog sustava te njegova usklađenost sa potrebama u gospodarstvu</w:t>
            </w: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Omogućiti stjecanje znanja i vještina učenika prema njihovim potrebama i interesima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poboljšati uvijete rada i unapređenje odvijanja odgojno obrazovnog procesa u školi</w:t>
            </w:r>
            <w:r>
              <w:rPr>
                <w:rFonts w:ascii="Arial" w:hAnsi="Arial" w:cs="Arial"/>
                <w:sz w:val="20"/>
                <w:szCs w:val="20"/>
              </w:rPr>
              <w:t xml:space="preserve"> te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društveno promovirati djelatnost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268" w:rsidRDefault="003B4471" w:rsidP="00C73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63C">
              <w:rPr>
                <w:rFonts w:ascii="Arial" w:hAnsi="Arial" w:cs="Arial"/>
                <w:b/>
                <w:sz w:val="20"/>
                <w:szCs w:val="20"/>
              </w:rPr>
              <w:t xml:space="preserve">Natjecanja, susreti i smotre u znanju, vještinama i umijećima 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odnosi se na prijevoz učenika </w:t>
            </w:r>
            <w:r>
              <w:rPr>
                <w:rFonts w:ascii="Arial" w:hAnsi="Arial" w:cs="Arial"/>
                <w:sz w:val="20"/>
                <w:szCs w:val="20"/>
              </w:rPr>
              <w:t xml:space="preserve">i ostale troškove učenika vezane za 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 razna natjecanja u znanju i vještinama koji se financira iz  proračuna Jedinica lokalne samouprave i sredstava Županijskog proračuna  kao</w:t>
            </w:r>
            <w:r w:rsidR="00327483">
              <w:rPr>
                <w:rFonts w:ascii="Arial" w:hAnsi="Arial" w:cs="Arial"/>
                <w:sz w:val="20"/>
                <w:szCs w:val="20"/>
              </w:rPr>
              <w:t xml:space="preserve"> osnivača.</w:t>
            </w:r>
            <w:r w:rsidRPr="00EB76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268" w:rsidRDefault="00C73268" w:rsidP="00C73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Pr="008B4D82" w:rsidRDefault="00037433" w:rsidP="00C73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</w:t>
            </w:r>
            <w:r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 5/12, 16/12, 86/12, 86/12, 126/12, 94/13, 152/14, 07/17, 68/18 , 98/19, 64/20), Zakona o ustanovama (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76/93, 29/97, 47/99, 35/08,127/19</w:t>
            </w:r>
            <w:r w:rsidR="002724BA">
              <w:rPr>
                <w:rFonts w:ascii="Arial" w:hAnsi="Arial" w:cs="Arial"/>
                <w:sz w:val="20"/>
                <w:szCs w:val="20"/>
              </w:rPr>
              <w:t>, 151/22</w:t>
            </w:r>
            <w:r w:rsidRPr="008B4D82">
              <w:rPr>
                <w:rFonts w:ascii="Arial" w:hAnsi="Arial" w:cs="Arial"/>
                <w:sz w:val="20"/>
                <w:szCs w:val="20"/>
              </w:rPr>
              <w:t>); Zakon o lokalnoj i područnoj (regionalnoj) samoupravi (NN 33/01, 60/01, 129/05, 109,07, 125/08, 36/09, 150/11, 144/12, 19/13, 137/15, 123/17, 98/19</w:t>
            </w:r>
            <w:r>
              <w:rPr>
                <w:rFonts w:ascii="Arial" w:hAnsi="Arial" w:cs="Arial"/>
                <w:sz w:val="20"/>
                <w:szCs w:val="20"/>
              </w:rPr>
              <w:t>,144/20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(NN, 127/17</w:t>
            </w:r>
            <w:r>
              <w:rPr>
                <w:rFonts w:ascii="Arial" w:hAnsi="Arial" w:cs="Arial"/>
                <w:sz w:val="20"/>
                <w:szCs w:val="20"/>
              </w:rPr>
              <w:t>, 138/20</w:t>
            </w:r>
            <w:r w:rsidR="002724BA">
              <w:rPr>
                <w:rFonts w:ascii="Arial" w:hAnsi="Arial" w:cs="Arial"/>
                <w:sz w:val="20"/>
                <w:szCs w:val="20"/>
              </w:rPr>
              <w:t>, 151/22</w:t>
            </w:r>
            <w:r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>
              <w:rPr>
                <w:rFonts w:ascii="Arial" w:hAnsi="Arial" w:cs="Arial"/>
                <w:sz w:val="20"/>
                <w:szCs w:val="20"/>
              </w:rPr>
              <w:t>56/22</w:t>
            </w:r>
            <w:r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4471" w:rsidRPr="008B4D82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-Odluka o kriterijima, mjerilima i načinu financiranja minimalnog financijskog standarda za decentralizirane funkcije osnovnog školstva u 202</w:t>
            </w:r>
            <w:r w:rsidR="00AC4604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 godini ;</w:t>
            </w:r>
          </w:p>
          <w:p w:rsidR="003B4471" w:rsidRPr="008B4D82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 w:rsidR="00AC4604"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 w:rsidR="00AC4604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D50A44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</w:p>
          <w:p w:rsidR="003B4471" w:rsidRDefault="003B4471" w:rsidP="00DF1F8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 w:rsidR="00AC4604"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 w:rsidR="00AC4604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D50A44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C732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73268" w:rsidRDefault="00C73268" w:rsidP="00C7326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rPr>
                <w:rFonts w:ascii="Arial" w:hAnsi="Arial" w:cs="Arial"/>
                <w:sz w:val="20"/>
                <w:szCs w:val="20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Osnova za izračun i ocjenu potrebnih sredstava temelji se na stvarnim troškovima iz prethodnih godina, potrebe ciljanih skupina, procjena prijave programa korisnika, rezultatima prethodnog rada korisnika, troškovnicima i cijenama vanjskih usluga.</w:t>
            </w: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39D5" w:rsidRDefault="009239D5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39D5" w:rsidRDefault="009239D5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39D5" w:rsidRDefault="009239D5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39D5" w:rsidRDefault="009239D5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239D5" w:rsidRDefault="009239D5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9239D5" w:rsidRPr="0007069C" w:rsidTr="0089723D">
              <w:tc>
                <w:tcPr>
                  <w:tcW w:w="556" w:type="dxa"/>
                </w:tcPr>
                <w:p w:rsidR="009239D5" w:rsidRPr="0007069C" w:rsidRDefault="009239D5" w:rsidP="009239D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9239D5" w:rsidRPr="0007069C" w:rsidRDefault="009239D5" w:rsidP="009239D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OBILJEŽAVANJE POSTIGNUĆA UČENIKA I NASTAVNIKA</w:t>
                  </w:r>
                </w:p>
              </w:tc>
              <w:tc>
                <w:tcPr>
                  <w:tcW w:w="1276" w:type="dxa"/>
                </w:tcPr>
                <w:p w:rsidR="009239D5" w:rsidRPr="0007069C" w:rsidRDefault="009239D5" w:rsidP="009239D5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9239D5" w:rsidRPr="00E92559" w:rsidTr="0089723D">
              <w:tc>
                <w:tcPr>
                  <w:tcW w:w="556" w:type="dxa"/>
                </w:tcPr>
                <w:p w:rsidR="009239D5" w:rsidRPr="001954AD" w:rsidRDefault="009239D5" w:rsidP="009239D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9239D5" w:rsidRPr="001954AD" w:rsidRDefault="009239D5" w:rsidP="009239D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Natjecanja i smotre</w:t>
                  </w:r>
                </w:p>
              </w:tc>
              <w:tc>
                <w:tcPr>
                  <w:tcW w:w="1276" w:type="dxa"/>
                </w:tcPr>
                <w:p w:rsidR="009239D5" w:rsidRPr="00E92559" w:rsidRDefault="00D50A44" w:rsidP="009239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7.777,33</w:t>
                  </w:r>
                </w:p>
              </w:tc>
            </w:tr>
            <w:tr w:rsidR="009239D5" w:rsidRPr="00E92559" w:rsidTr="0089723D">
              <w:tc>
                <w:tcPr>
                  <w:tcW w:w="556" w:type="dxa"/>
                </w:tcPr>
                <w:p w:rsidR="009239D5" w:rsidRPr="0007069C" w:rsidRDefault="009239D5" w:rsidP="009239D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9239D5" w:rsidRPr="0007069C" w:rsidRDefault="009239D5" w:rsidP="009239D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239D5" w:rsidRPr="00E92559" w:rsidRDefault="009239D5" w:rsidP="009239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39D5" w:rsidRPr="00E92559" w:rsidTr="0089723D">
              <w:tc>
                <w:tcPr>
                  <w:tcW w:w="556" w:type="dxa"/>
                </w:tcPr>
                <w:p w:rsidR="009239D5" w:rsidRPr="0007069C" w:rsidRDefault="009239D5" w:rsidP="009239D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9239D5" w:rsidRPr="0007069C" w:rsidRDefault="009239D5" w:rsidP="009239D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9239D5" w:rsidRPr="00E92559" w:rsidRDefault="00D50A44" w:rsidP="009239D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7.777,33</w:t>
                  </w:r>
                </w:p>
              </w:tc>
            </w:tr>
          </w:tbl>
          <w:p w:rsidR="003B4471" w:rsidRDefault="003B4471" w:rsidP="009239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91545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Planirana sredstva ovog programa financirana od strane Županije su u </w:t>
            </w:r>
            <w:r w:rsidR="00A915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skladu sa planiranim sredstvima u prvotnom planu sa manjim odstupanjima zbog usklađivanja sredstava sa stvarnim rashodima natjecanja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Čarolije</w:t>
            </w:r>
            <w:r w:rsidR="00A915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A91545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Što se tiče rashoda financiranih od strane JLS oni su </w:t>
            </w:r>
            <w:r w:rsidR="00D50A4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također nešto manja </w:t>
            </w:r>
            <w:r w:rsidR="004035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zbog smanjenja rashoda za Naknade građanima u naravi koji se odnose na poklone učenicima generacija čiji su rashodi bili manji od prvotno planiranih.</w:t>
            </w: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3B4471" w:rsidRDefault="003B4471" w:rsidP="00DF1F82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DF1F8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1193"/>
              <w:gridCol w:w="742"/>
              <w:gridCol w:w="992"/>
            </w:tblGrid>
            <w:tr w:rsidR="003B4471" w:rsidRPr="009B2037" w:rsidTr="00DF1F82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</w:t>
                  </w: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1193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742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Polazna</w:t>
                  </w:r>
                </w:p>
                <w:p w:rsidR="003B4471" w:rsidRPr="009B2037" w:rsidRDefault="003B4471" w:rsidP="00DF1F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B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Ciljana</w:t>
                  </w:r>
                </w:p>
                <w:p w:rsidR="003B4471" w:rsidRPr="009B2037" w:rsidRDefault="003B4471" w:rsidP="00DF1F82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vrijednost</w:t>
                  </w:r>
                </w:p>
                <w:p w:rsidR="003B4471" w:rsidRPr="009B2037" w:rsidRDefault="003B4471" w:rsidP="009239D5">
                  <w:pPr>
                    <w:pStyle w:val="Naslov7"/>
                    <w:rPr>
                      <w:sz w:val="16"/>
                      <w:szCs w:val="16"/>
                    </w:rPr>
                  </w:pPr>
                  <w:r w:rsidRPr="009B2037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="009239D5">
                    <w:rPr>
                      <w:sz w:val="16"/>
                      <w:szCs w:val="16"/>
                    </w:rPr>
                    <w:t>3</w:t>
                  </w:r>
                  <w:r w:rsidRPr="009B2037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3B4471" w:rsidRPr="009B2037" w:rsidTr="00DF1F82">
              <w:trPr>
                <w:trHeight w:val="188"/>
              </w:trPr>
              <w:tc>
                <w:tcPr>
                  <w:tcW w:w="12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Što veći broj  učenika koj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 xml:space="preserve"> sudjeluju na natjecanjima</w:t>
                  </w:r>
                </w:p>
              </w:tc>
              <w:tc>
                <w:tcPr>
                  <w:tcW w:w="952" w:type="dxa"/>
                </w:tcPr>
                <w:p w:rsidR="003B4471" w:rsidRPr="00217E36" w:rsidRDefault="003B4471" w:rsidP="00DF1F82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Omogućiti što većem broju učenika mogućnost sudjelovanja na natjecanjima</w:t>
                  </w:r>
                </w:p>
              </w:tc>
              <w:tc>
                <w:tcPr>
                  <w:tcW w:w="1193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Broj učenika</w:t>
                  </w:r>
                </w:p>
              </w:tc>
              <w:tc>
                <w:tcPr>
                  <w:tcW w:w="742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3B4471" w:rsidRPr="00217E36" w:rsidRDefault="003B4471" w:rsidP="00DF1F82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7E36">
                    <w:rPr>
                      <w:rFonts w:ascii="Arial" w:hAnsi="Arial" w:cs="Arial"/>
                      <w:sz w:val="14"/>
                      <w:szCs w:val="14"/>
                    </w:rPr>
                    <w:t>50</w:t>
                  </w:r>
                </w:p>
              </w:tc>
            </w:tr>
          </w:tbl>
          <w:p w:rsidR="003B4471" w:rsidRDefault="003B4471" w:rsidP="00DF1F82">
            <w:pPr>
              <w:jc w:val="both"/>
              <w:rPr>
                <w:rFonts w:ascii="Arial" w:hAnsi="Arial" w:cs="Arial"/>
                <w:b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b/>
              </w:rPr>
            </w:pPr>
          </w:p>
          <w:p w:rsidR="003B4471" w:rsidRDefault="003B4471" w:rsidP="00DF1F82">
            <w:pPr>
              <w:jc w:val="both"/>
              <w:rPr>
                <w:rFonts w:ascii="Arial" w:hAnsi="Arial" w:cs="Arial"/>
                <w:b/>
              </w:rPr>
            </w:pPr>
          </w:p>
          <w:p w:rsidR="003B4471" w:rsidRPr="002A3DBD" w:rsidRDefault="003B4471" w:rsidP="003B447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A3DB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KAPITALNA ULAGANJA U ODGOJNO OBRAZOVNU STRUKTURU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11DB3" w:rsidRDefault="00611DB3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1DB3" w:rsidRDefault="00611DB3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Razvoj ljudskih potencijala i povećanje kvalitete života</w:t>
            </w: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>Unapređenje obrazovnog sustava te njegova usklađenost sa potrebama u gospodarstvu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042DE2" w:rsidRDefault="00042DE2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Poboljšati uvjete rada, unaprijediti odvijanje odgojno obrazovnog procesa te sigurnost škole. Zadovoljiti specifične potrebe pojedinih grupacija učenika.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91545" w:rsidRPr="008B4D82" w:rsidRDefault="00A91545" w:rsidP="00A915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</w:t>
            </w:r>
            <w:r w:rsidRPr="008B4D82">
              <w:rPr>
                <w:rFonts w:ascii="Arial" w:hAnsi="Arial" w:cs="Arial"/>
                <w:sz w:val="20"/>
                <w:szCs w:val="20"/>
              </w:rPr>
              <w:t>dredbama Zakon o odgoju i obrazovanju u osnovnoj i srednjoj školi (NN 87/08, 86/09 , 92/10, 105/10, 90/11, 5/12, 16/12, 86/12, 86/12, 126/12, 94/13, 152/14, 07/17, 68/18 , 98/19, 64/20), Zakona o ustanovama (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Pr="008B4D82">
              <w:rPr>
                <w:rFonts w:ascii="Arial" w:hAnsi="Arial" w:cs="Arial"/>
                <w:sz w:val="20"/>
                <w:szCs w:val="20"/>
              </w:rPr>
              <w:t xml:space="preserve"> 76/93, 29/97, 47/99, 35/08,127/19</w:t>
            </w:r>
            <w:r w:rsidR="002724BA">
              <w:rPr>
                <w:rFonts w:ascii="Arial" w:hAnsi="Arial" w:cs="Arial"/>
                <w:sz w:val="20"/>
                <w:szCs w:val="20"/>
              </w:rPr>
              <w:t>, 151/22</w:t>
            </w:r>
            <w:r w:rsidRPr="008B4D82">
              <w:rPr>
                <w:rFonts w:ascii="Arial" w:hAnsi="Arial" w:cs="Arial"/>
                <w:sz w:val="20"/>
                <w:szCs w:val="20"/>
              </w:rPr>
              <w:t>); Zakon o lokalnoj i područnoj (regionalnoj) samoupravi (NN 33/01, 60/01, 129/05, 109,07, 125/08, 36/09, 150/11, 144/12, 19/13, 137/15, 123/17, 98/19</w:t>
            </w:r>
            <w:r>
              <w:rPr>
                <w:rFonts w:ascii="Arial" w:hAnsi="Arial" w:cs="Arial"/>
                <w:sz w:val="20"/>
                <w:szCs w:val="20"/>
              </w:rPr>
              <w:t>,144/20</w:t>
            </w:r>
            <w:r w:rsidRPr="008B4D82">
              <w:rPr>
                <w:rFonts w:ascii="Arial" w:hAnsi="Arial" w:cs="Arial"/>
                <w:sz w:val="20"/>
                <w:szCs w:val="20"/>
              </w:rPr>
              <w:t>), Državni pedagoški standard osnovnoškolskog sustava odgoja i obrazovanja (NN 63/08, 90/10), Zakon o financiranju jedinica lokalne i područne (regionalne) samouprave (NN, 127/17</w:t>
            </w:r>
            <w:r>
              <w:rPr>
                <w:rFonts w:ascii="Arial" w:hAnsi="Arial" w:cs="Arial"/>
                <w:sz w:val="20"/>
                <w:szCs w:val="20"/>
              </w:rPr>
              <w:t>, 138/20</w:t>
            </w:r>
            <w:r w:rsidR="002724BA">
              <w:rPr>
                <w:rFonts w:ascii="Arial" w:hAnsi="Arial" w:cs="Arial"/>
                <w:sz w:val="20"/>
                <w:szCs w:val="20"/>
              </w:rPr>
              <w:t>, 151/22</w:t>
            </w:r>
            <w:r w:rsidRPr="008B4D82">
              <w:rPr>
                <w:rFonts w:ascii="Arial" w:hAnsi="Arial" w:cs="Arial"/>
                <w:sz w:val="20"/>
                <w:szCs w:val="20"/>
              </w:rPr>
              <w:t>), Temeljni kolektivni ugovor za službenike i namještenike u javnim službama (</w:t>
            </w:r>
            <w:r>
              <w:rPr>
                <w:rFonts w:ascii="Arial" w:hAnsi="Arial" w:cs="Arial"/>
                <w:sz w:val="20"/>
                <w:szCs w:val="20"/>
              </w:rPr>
              <w:t>56/22</w:t>
            </w:r>
            <w:r w:rsidRPr="008B4D8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B4471" w:rsidRPr="008B4D82" w:rsidRDefault="003B4471" w:rsidP="003B44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-Odluka o kriterijima, mjerilima i načinu financiranja minimalnog financijskog standarda za decentralizirane funkcije osnovnog školstva u 202</w:t>
            </w:r>
            <w:r w:rsidR="00A91545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 godini ;</w:t>
            </w:r>
          </w:p>
          <w:p w:rsidR="003B4471" w:rsidRPr="008B4D82" w:rsidRDefault="003B4471" w:rsidP="003B447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Godišnjim izvedbenim odgojno–obrazovnim planom i programom rada za školsku godinu 202</w:t>
            </w:r>
            <w:r w:rsidR="00A91545"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 w:rsidR="00A91545">
              <w:rPr>
                <w:rFonts w:ascii="Arial" w:hAnsi="Arial" w:cs="Arial"/>
                <w:sz w:val="20"/>
                <w:szCs w:val="20"/>
              </w:rPr>
              <w:t>3</w:t>
            </w:r>
            <w:r w:rsidRPr="008B4D82">
              <w:rPr>
                <w:rFonts w:ascii="Arial" w:hAnsi="Arial" w:cs="Arial"/>
                <w:sz w:val="20"/>
                <w:szCs w:val="20"/>
              </w:rPr>
              <w:t>.</w:t>
            </w:r>
            <w:r w:rsidR="004035E8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</w:p>
          <w:p w:rsidR="003B4471" w:rsidRDefault="003B4471" w:rsidP="00A915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D82">
              <w:rPr>
                <w:rFonts w:ascii="Arial" w:hAnsi="Arial" w:cs="Arial"/>
                <w:sz w:val="20"/>
                <w:szCs w:val="20"/>
              </w:rPr>
              <w:t>- Školskim kurikulumom Osnovne škole Viktora Cara Emina za školsku godinu 202</w:t>
            </w:r>
            <w:r w:rsidR="00A91545">
              <w:rPr>
                <w:rFonts w:ascii="Arial" w:hAnsi="Arial" w:cs="Arial"/>
                <w:sz w:val="20"/>
                <w:szCs w:val="20"/>
              </w:rPr>
              <w:t>2</w:t>
            </w:r>
            <w:r w:rsidRPr="008B4D82">
              <w:rPr>
                <w:rFonts w:ascii="Arial" w:hAnsi="Arial" w:cs="Arial"/>
                <w:sz w:val="20"/>
                <w:szCs w:val="20"/>
              </w:rPr>
              <w:t>./202</w:t>
            </w:r>
            <w:r w:rsidR="00A91545">
              <w:rPr>
                <w:rFonts w:ascii="Arial" w:hAnsi="Arial" w:cs="Arial"/>
                <w:sz w:val="20"/>
                <w:szCs w:val="20"/>
              </w:rPr>
              <w:t>3</w:t>
            </w:r>
            <w:r w:rsidR="004035E8">
              <w:rPr>
                <w:rFonts w:ascii="Arial" w:hAnsi="Arial" w:cs="Arial"/>
                <w:sz w:val="20"/>
                <w:szCs w:val="20"/>
              </w:rPr>
              <w:t xml:space="preserve"> i 2023./2024.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91545" w:rsidRDefault="00A91545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065EB" w:rsidRDefault="00C065EB" w:rsidP="003B447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rPr>
                <w:rFonts w:ascii="Arial" w:hAnsi="Arial" w:cs="Arial"/>
                <w:sz w:val="20"/>
                <w:szCs w:val="20"/>
              </w:rPr>
            </w:pPr>
            <w:r w:rsidRPr="00217E36">
              <w:rPr>
                <w:rFonts w:ascii="Arial" w:hAnsi="Arial" w:cs="Arial"/>
                <w:sz w:val="20"/>
                <w:szCs w:val="20"/>
              </w:rPr>
              <w:t xml:space="preserve">Osnova za izračun i ocjenu potrebnih sredstava temelji se na stvarnim troškovima iz prethodnih godina, potrebe ciljanih skupina,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rijave </w:t>
            </w:r>
            <w:r>
              <w:rPr>
                <w:rFonts w:ascii="Arial" w:hAnsi="Arial" w:cs="Arial"/>
                <w:sz w:val="20"/>
                <w:szCs w:val="20"/>
              </w:rPr>
              <w:t xml:space="preserve">potreba od strane korisnika, </w:t>
            </w:r>
            <w:r w:rsidRPr="00217E36">
              <w:rPr>
                <w:rFonts w:ascii="Arial" w:hAnsi="Arial" w:cs="Arial"/>
                <w:sz w:val="20"/>
                <w:szCs w:val="20"/>
              </w:rPr>
              <w:t xml:space="preserve"> troškovnicima i cijenama vanjskih usluga.</w:t>
            </w:r>
          </w:p>
          <w:p w:rsid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91545" w:rsidRDefault="00A91545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91545" w:rsidRDefault="00A91545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8B4D82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591"/>
              <w:gridCol w:w="1276"/>
            </w:tblGrid>
            <w:tr w:rsidR="00A91545" w:rsidRPr="0007069C" w:rsidTr="0089723D">
              <w:tc>
                <w:tcPr>
                  <w:tcW w:w="556" w:type="dxa"/>
                </w:tcPr>
                <w:p w:rsidR="00A91545" w:rsidRPr="0007069C" w:rsidRDefault="00A91545" w:rsidP="00A9154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R.b</w:t>
                  </w:r>
                  <w:proofErr w:type="spellEnd"/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91" w:type="dxa"/>
                </w:tcPr>
                <w:p w:rsidR="00A91545" w:rsidRPr="0007069C" w:rsidRDefault="00A91545" w:rsidP="00A9154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2432FB">
                    <w:rPr>
                      <w:sz w:val="20"/>
                      <w:szCs w:val="20"/>
                    </w:rPr>
                    <w:t xml:space="preserve">PROGRAM </w:t>
                  </w:r>
                  <w:r>
                    <w:rPr>
                      <w:sz w:val="20"/>
                      <w:szCs w:val="20"/>
                    </w:rPr>
                    <w:t>KAPITALNA ULAGANJA U ODGOJNO OBRAZOVNU INFRASTRUKTURU</w:t>
                  </w:r>
                </w:p>
              </w:tc>
              <w:tc>
                <w:tcPr>
                  <w:tcW w:w="1276" w:type="dxa"/>
                </w:tcPr>
                <w:p w:rsidR="00A91545" w:rsidRPr="0007069C" w:rsidRDefault="00A91545" w:rsidP="00A91545">
                  <w:pPr>
                    <w:pStyle w:val="Naslov7"/>
                    <w:rPr>
                      <w:b w:val="0"/>
                      <w:szCs w:val="18"/>
                    </w:rPr>
                  </w:pPr>
                  <w:r>
                    <w:rPr>
                      <w:b w:val="0"/>
                      <w:szCs w:val="18"/>
                    </w:rPr>
                    <w:t>2023</w:t>
                  </w:r>
                  <w:r w:rsidRPr="0007069C">
                    <w:rPr>
                      <w:b w:val="0"/>
                      <w:szCs w:val="18"/>
                    </w:rPr>
                    <w:t>.</w:t>
                  </w:r>
                </w:p>
              </w:tc>
            </w:tr>
            <w:tr w:rsidR="00A91545" w:rsidRPr="00E92559" w:rsidTr="0089723D">
              <w:tc>
                <w:tcPr>
                  <w:tcW w:w="556" w:type="dxa"/>
                </w:tcPr>
                <w:p w:rsidR="00A91545" w:rsidRPr="001954AD" w:rsidRDefault="00A91545" w:rsidP="00A9154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4AD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91" w:type="dxa"/>
                </w:tcPr>
                <w:p w:rsidR="00A91545" w:rsidRPr="001954AD" w:rsidRDefault="00A91545" w:rsidP="00A9154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Opremanje ustanova školstva</w:t>
                  </w:r>
                </w:p>
              </w:tc>
              <w:tc>
                <w:tcPr>
                  <w:tcW w:w="1276" w:type="dxa"/>
                </w:tcPr>
                <w:p w:rsidR="00A91545" w:rsidRPr="00E92559" w:rsidRDefault="004035E8" w:rsidP="00A915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195.581,68</w:t>
                  </w:r>
                </w:p>
              </w:tc>
            </w:tr>
            <w:tr w:rsidR="00A91545" w:rsidRPr="00E92559" w:rsidTr="0089723D">
              <w:tc>
                <w:tcPr>
                  <w:tcW w:w="556" w:type="dxa"/>
                </w:tcPr>
                <w:p w:rsidR="00A91545" w:rsidRPr="0007069C" w:rsidRDefault="00A91545" w:rsidP="00A9154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A91545" w:rsidRPr="0007069C" w:rsidRDefault="00A91545" w:rsidP="00A9154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A91545" w:rsidRPr="00E92559" w:rsidRDefault="00A91545" w:rsidP="00A915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91545" w:rsidRPr="00E92559" w:rsidTr="0089723D">
              <w:tc>
                <w:tcPr>
                  <w:tcW w:w="556" w:type="dxa"/>
                </w:tcPr>
                <w:p w:rsidR="00A91545" w:rsidRPr="0007069C" w:rsidRDefault="00A91545" w:rsidP="00A9154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</w:tcPr>
                <w:p w:rsidR="00A91545" w:rsidRPr="0007069C" w:rsidRDefault="00A91545" w:rsidP="00A9154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7069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Ukupno razdjel:</w:t>
                  </w:r>
                </w:p>
              </w:tc>
              <w:tc>
                <w:tcPr>
                  <w:tcW w:w="1276" w:type="dxa"/>
                </w:tcPr>
                <w:p w:rsidR="00A91545" w:rsidRPr="00E92559" w:rsidRDefault="004035E8" w:rsidP="00A915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195.581,68</w:t>
                  </w:r>
                </w:p>
              </w:tc>
            </w:tr>
          </w:tbl>
          <w:p w:rsid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035E8" w:rsidRDefault="003B4471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B4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programu Kapitalna ulaganja u odgojno obrazovnu infrastrukturu plan za 202</w:t>
            </w:r>
            <w:r w:rsidR="00A915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Pr="003B447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godinu </w:t>
            </w:r>
            <w:r w:rsidR="004035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došlo je do smanjivanja nekih rashoda za koje se prvotno smatralo da će biti potrebn</w:t>
            </w:r>
            <w:r w:rsidR="00C065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bookmarkStart w:id="0" w:name="_GoBack"/>
            <w:bookmarkEnd w:id="0"/>
            <w:r w:rsidR="004035E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no sredstva su preusmjerena na trenutne stvarne potrebe. Kod izvora financiranja vlastiti prihodi sredstva su usmjerena  u nabavu prijenosnog računala , ostala planirana sredstva preusmjerena su na druge vrste rashoda u skladu sa potrebama.</w:t>
            </w:r>
          </w:p>
          <w:p w:rsidR="009158F9" w:rsidRDefault="009158F9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035E8" w:rsidRDefault="004035E8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Izmjenom i dopunom Odluke o raspodijeli rezultata poslovanja</w:t>
            </w:r>
            <w:r w:rsidR="009158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načinom korištenja viška u 2023.godini izvršene su izmjene ulaganja u odgojno obrazovnu infrastrukturu i to u </w:t>
            </w:r>
            <w:r w:rsidR="00AB147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AB147B" w:rsidRDefault="00AB147B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A915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izvora preneseni namjenski prihodi sufinanc</w:t>
            </w:r>
            <w:r w:rsidR="0032748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irat će se nabava </w:t>
            </w:r>
            <w:proofErr w:type="spellStart"/>
            <w:r w:rsidR="003274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salamoreznice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mašine za suđe, a rashodi su smanjeni jer je nađena povoljnija ponuda za iste i perilica suđa financira se iz još nekih izvora,</w:t>
            </w:r>
          </w:p>
          <w:p w:rsidR="00AB147B" w:rsidRDefault="00AB147B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-izvor </w:t>
            </w:r>
            <w:r w:rsidR="00854F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preneseni vlastiti prihodi</w:t>
            </w:r>
            <w:r w:rsidR="004035E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prenam</w:t>
            </w:r>
            <w:r w:rsidR="009158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4035E8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jenila su se sredstva na materijal i usluge za tekuće i investicijsko održavanje opreme</w:t>
            </w:r>
          </w:p>
          <w:p w:rsidR="004035E8" w:rsidRDefault="00AB147B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izvora Prihodi od nefinancijske imovine utrošit će se na dodatna ulaganja na građevinskim objektima obnova dvorane Matične škole i obnova zgrade PŠ Eugen Kumičić 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Mošćeničkoj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Dragi u manjem dijelu nego što je planirano, ali su se ta sredstva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prenamjenila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rashode za nabavu  klima uređaja, te sufinanciranje dijela nabave perilice za suđe, te se dio prihoda uložio u hitnu sanaciju staklene stijene koja je predstavljala opasnost za učenike škole.</w:t>
            </w:r>
          </w:p>
          <w:p w:rsidR="004035E8" w:rsidRDefault="004035E8" w:rsidP="003B4471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5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2"/>
              <w:gridCol w:w="952"/>
              <w:gridCol w:w="953"/>
              <w:gridCol w:w="982"/>
              <w:gridCol w:w="992"/>
            </w:tblGrid>
            <w:tr w:rsidR="003B4471" w:rsidRPr="003B4471" w:rsidTr="00DF1F82">
              <w:trPr>
                <w:trHeight w:val="580"/>
              </w:trPr>
              <w:tc>
                <w:tcPr>
                  <w:tcW w:w="1252" w:type="dxa"/>
                  <w:vAlign w:val="center"/>
                </w:tcPr>
                <w:p w:rsidR="003B4471" w:rsidRPr="003B4471" w:rsidRDefault="003B4471" w:rsidP="003B44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Pokazatelj uspješnosti</w:t>
                  </w:r>
                </w:p>
              </w:tc>
              <w:tc>
                <w:tcPr>
                  <w:tcW w:w="952" w:type="dxa"/>
                  <w:vAlign w:val="center"/>
                </w:tcPr>
                <w:p w:rsidR="003B4471" w:rsidRPr="003B4471" w:rsidRDefault="003B4471" w:rsidP="003B44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Definicija</w:t>
                  </w:r>
                </w:p>
              </w:tc>
              <w:tc>
                <w:tcPr>
                  <w:tcW w:w="953" w:type="dxa"/>
                  <w:vAlign w:val="center"/>
                </w:tcPr>
                <w:p w:rsidR="003B4471" w:rsidRPr="003B4471" w:rsidRDefault="003B4471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Jedinica</w:t>
                  </w:r>
                </w:p>
              </w:tc>
              <w:tc>
                <w:tcPr>
                  <w:tcW w:w="982" w:type="dxa"/>
                  <w:vAlign w:val="center"/>
                </w:tcPr>
                <w:p w:rsidR="003B4471" w:rsidRPr="003B4471" w:rsidRDefault="003B4471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Polazna</w:t>
                  </w:r>
                </w:p>
                <w:p w:rsidR="003B4471" w:rsidRPr="003B4471" w:rsidRDefault="003B4471" w:rsidP="003B447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sz w:val="16"/>
                      <w:szCs w:val="16"/>
                    </w:rPr>
                    <w:t>vrijednost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3B4471" w:rsidRPr="003B4471" w:rsidRDefault="003B4471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Ciljana</w:t>
                  </w:r>
                </w:p>
                <w:p w:rsidR="003B4471" w:rsidRPr="003B4471" w:rsidRDefault="003B4471" w:rsidP="003B4471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vrijednost</w:t>
                  </w:r>
                </w:p>
                <w:p w:rsidR="003B4471" w:rsidRPr="003B4471" w:rsidRDefault="003B4471" w:rsidP="00327483">
                  <w:pPr>
                    <w:keepNext/>
                    <w:jc w:val="center"/>
                    <w:outlineLvl w:val="6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202</w:t>
                  </w:r>
                  <w:r w:rsidR="003274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3B447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B4471" w:rsidRPr="003B4471" w:rsidTr="00DF1F82">
              <w:trPr>
                <w:trHeight w:val="151"/>
              </w:trPr>
              <w:tc>
                <w:tcPr>
                  <w:tcW w:w="1252" w:type="dxa"/>
                </w:tcPr>
                <w:p w:rsidR="003B4471" w:rsidRPr="003B4471" w:rsidRDefault="003B4471" w:rsidP="003B447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Ostvarenje plana opremanja škole</w:t>
                  </w:r>
                </w:p>
              </w:tc>
              <w:tc>
                <w:tcPr>
                  <w:tcW w:w="952" w:type="dxa"/>
                </w:tcPr>
                <w:p w:rsidR="003B4471" w:rsidRPr="003B4471" w:rsidRDefault="003B4471" w:rsidP="003B4471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Financiranjem nabave opreme zadržati uvijete za odvijanje nastavnog procesa</w:t>
                  </w:r>
                </w:p>
              </w:tc>
              <w:tc>
                <w:tcPr>
                  <w:tcW w:w="953" w:type="dxa"/>
                </w:tcPr>
                <w:p w:rsidR="003B4471" w:rsidRPr="003B4471" w:rsidRDefault="003B4471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%plan</w:t>
                  </w:r>
                </w:p>
              </w:tc>
              <w:tc>
                <w:tcPr>
                  <w:tcW w:w="982" w:type="dxa"/>
                </w:tcPr>
                <w:p w:rsidR="003B4471" w:rsidRPr="003B4471" w:rsidRDefault="003B4471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90%</w:t>
                  </w:r>
                </w:p>
              </w:tc>
              <w:tc>
                <w:tcPr>
                  <w:tcW w:w="992" w:type="dxa"/>
                </w:tcPr>
                <w:p w:rsidR="003B4471" w:rsidRPr="003B4471" w:rsidRDefault="003B4471" w:rsidP="003B4471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4471">
                    <w:rPr>
                      <w:rFonts w:ascii="Arial" w:hAnsi="Arial" w:cs="Arial"/>
                      <w:sz w:val="14"/>
                      <w:szCs w:val="14"/>
                    </w:rPr>
                    <w:t>93%</w:t>
                  </w:r>
                </w:p>
              </w:tc>
            </w:tr>
          </w:tbl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framePr w:wrap="auto" w:hAnchor="text" w:x="160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B4471" w:rsidRPr="003B4471" w:rsidRDefault="003B4471" w:rsidP="003B4471">
            <w:pPr>
              <w:ind w:left="4956"/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Ravnateljica Škole</w:t>
            </w:r>
          </w:p>
          <w:p w:rsidR="003B4471" w:rsidRPr="003B4471" w:rsidRDefault="003B4471" w:rsidP="003B4471">
            <w:pPr>
              <w:ind w:left="4956"/>
              <w:rPr>
                <w:sz w:val="22"/>
                <w:szCs w:val="22"/>
              </w:rPr>
            </w:pPr>
          </w:p>
          <w:p w:rsidR="003B4471" w:rsidRPr="003B4471" w:rsidRDefault="003B4471" w:rsidP="003B4471">
            <w:pPr>
              <w:ind w:left="4956"/>
              <w:rPr>
                <w:sz w:val="22"/>
                <w:szCs w:val="22"/>
              </w:rPr>
            </w:pPr>
            <w:r w:rsidRPr="003B4471">
              <w:rPr>
                <w:sz w:val="22"/>
                <w:szCs w:val="22"/>
              </w:rPr>
              <w:t>____________________</w:t>
            </w:r>
          </w:p>
          <w:p w:rsidR="003B4471" w:rsidRPr="003B4471" w:rsidRDefault="003B4471" w:rsidP="003B4471">
            <w:pPr>
              <w:rPr>
                <w:sz w:val="18"/>
              </w:rPr>
            </w:pP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</w:r>
            <w:r w:rsidRPr="003B4471">
              <w:rPr>
                <w:sz w:val="22"/>
                <w:szCs w:val="22"/>
              </w:rPr>
              <w:tab/>
              <w:t xml:space="preserve">Iva </w:t>
            </w:r>
            <w:proofErr w:type="spellStart"/>
            <w:r w:rsidRPr="003B4471">
              <w:rPr>
                <w:sz w:val="22"/>
                <w:szCs w:val="22"/>
              </w:rPr>
              <w:t>Erceg,mag.prim.educ</w:t>
            </w:r>
            <w:proofErr w:type="spellEnd"/>
            <w:r w:rsidRPr="003B4471">
              <w:rPr>
                <w:sz w:val="22"/>
                <w:szCs w:val="22"/>
              </w:rPr>
              <w:t>.</w:t>
            </w:r>
          </w:p>
          <w:p w:rsidR="003B4471" w:rsidRPr="0015726F" w:rsidRDefault="003B4471" w:rsidP="00DF1F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27405" w:rsidRDefault="00C27405"/>
    <w:sectPr w:rsidR="00C2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C49"/>
    <w:multiLevelType w:val="hybridMultilevel"/>
    <w:tmpl w:val="1CFC7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78"/>
    <w:rsid w:val="00004C4C"/>
    <w:rsid w:val="000354E9"/>
    <w:rsid w:val="00037433"/>
    <w:rsid w:val="00042DE2"/>
    <w:rsid w:val="000B69FC"/>
    <w:rsid w:val="000E34E7"/>
    <w:rsid w:val="00181088"/>
    <w:rsid w:val="001847B7"/>
    <w:rsid w:val="001B2078"/>
    <w:rsid w:val="001C2140"/>
    <w:rsid w:val="00205EAA"/>
    <w:rsid w:val="00210A96"/>
    <w:rsid w:val="00251C50"/>
    <w:rsid w:val="00256003"/>
    <w:rsid w:val="002724BA"/>
    <w:rsid w:val="002A3DBD"/>
    <w:rsid w:val="00303154"/>
    <w:rsid w:val="00327483"/>
    <w:rsid w:val="00396E9D"/>
    <w:rsid w:val="003B4471"/>
    <w:rsid w:val="003D6775"/>
    <w:rsid w:val="004035E8"/>
    <w:rsid w:val="00485F60"/>
    <w:rsid w:val="0048655E"/>
    <w:rsid w:val="004C6EBE"/>
    <w:rsid w:val="004E3644"/>
    <w:rsid w:val="004E36C7"/>
    <w:rsid w:val="005141A2"/>
    <w:rsid w:val="00545427"/>
    <w:rsid w:val="00556E58"/>
    <w:rsid w:val="00574CA5"/>
    <w:rsid w:val="00580CB9"/>
    <w:rsid w:val="005C3947"/>
    <w:rsid w:val="005C3FA0"/>
    <w:rsid w:val="005C68AA"/>
    <w:rsid w:val="00610882"/>
    <w:rsid w:val="00611DB3"/>
    <w:rsid w:val="006649D9"/>
    <w:rsid w:val="006B5E93"/>
    <w:rsid w:val="006D33BF"/>
    <w:rsid w:val="00740186"/>
    <w:rsid w:val="007508DD"/>
    <w:rsid w:val="00766018"/>
    <w:rsid w:val="007A7A4C"/>
    <w:rsid w:val="007E0F84"/>
    <w:rsid w:val="00840370"/>
    <w:rsid w:val="00854FC0"/>
    <w:rsid w:val="00861DDF"/>
    <w:rsid w:val="00897A25"/>
    <w:rsid w:val="00901D5C"/>
    <w:rsid w:val="009158F9"/>
    <w:rsid w:val="009239D5"/>
    <w:rsid w:val="00936C78"/>
    <w:rsid w:val="009C5FA9"/>
    <w:rsid w:val="00A20E95"/>
    <w:rsid w:val="00A21344"/>
    <w:rsid w:val="00A26F48"/>
    <w:rsid w:val="00A90178"/>
    <w:rsid w:val="00A91545"/>
    <w:rsid w:val="00AB0ECF"/>
    <w:rsid w:val="00AB147B"/>
    <w:rsid w:val="00AC4604"/>
    <w:rsid w:val="00AE2E08"/>
    <w:rsid w:val="00AE6785"/>
    <w:rsid w:val="00B46E82"/>
    <w:rsid w:val="00BA23F2"/>
    <w:rsid w:val="00C0364A"/>
    <w:rsid w:val="00C065EB"/>
    <w:rsid w:val="00C153B5"/>
    <w:rsid w:val="00C2182A"/>
    <w:rsid w:val="00C27405"/>
    <w:rsid w:val="00C32177"/>
    <w:rsid w:val="00C73268"/>
    <w:rsid w:val="00C76CBB"/>
    <w:rsid w:val="00C97DAD"/>
    <w:rsid w:val="00D50A44"/>
    <w:rsid w:val="00E703A8"/>
    <w:rsid w:val="00E9104F"/>
    <w:rsid w:val="00E96755"/>
    <w:rsid w:val="00EA732E"/>
    <w:rsid w:val="00EB6480"/>
    <w:rsid w:val="00EF154E"/>
    <w:rsid w:val="00F057CC"/>
    <w:rsid w:val="00F23B29"/>
    <w:rsid w:val="00F3484C"/>
    <w:rsid w:val="00F406E1"/>
    <w:rsid w:val="00F5524E"/>
    <w:rsid w:val="00F57CFA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96E"/>
  <w15:chartTrackingRefBased/>
  <w15:docId w15:val="{96AC990E-B19E-4CBB-8993-D0C57A84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B4471"/>
    <w:pPr>
      <w:keepNext/>
      <w:outlineLvl w:val="0"/>
    </w:pPr>
    <w:rPr>
      <w:rFonts w:ascii="Arial" w:hAnsi="Arial" w:cs="Arial"/>
      <w:b/>
      <w:bCs/>
      <w:sz w:val="20"/>
    </w:rPr>
  </w:style>
  <w:style w:type="paragraph" w:styleId="Naslov7">
    <w:name w:val="heading 7"/>
    <w:basedOn w:val="Normal"/>
    <w:next w:val="Normal"/>
    <w:link w:val="Naslov7Char"/>
    <w:qFormat/>
    <w:rsid w:val="003B4471"/>
    <w:pPr>
      <w:keepNext/>
      <w:jc w:val="center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4471"/>
    <w:rPr>
      <w:rFonts w:ascii="Arial" w:eastAsia="Times New Roman" w:hAnsi="Arial" w:cs="Arial"/>
      <w:b/>
      <w:bCs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B4471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customStyle="1" w:styleId="xl52">
    <w:name w:val="xl52"/>
    <w:basedOn w:val="Normal"/>
    <w:rsid w:val="003B447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4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48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72</cp:revision>
  <cp:lastPrinted>2023-09-20T10:09:00Z</cp:lastPrinted>
  <dcterms:created xsi:type="dcterms:W3CDTF">2022-05-12T12:17:00Z</dcterms:created>
  <dcterms:modified xsi:type="dcterms:W3CDTF">2023-09-21T07:42:00Z</dcterms:modified>
</cp:coreProperties>
</file>